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AB061" w14:textId="77777777" w:rsidR="00893E05" w:rsidRDefault="00893E05">
      <w:pPr>
        <w:pStyle w:val="a3"/>
        <w:ind w:left="0"/>
        <w:rPr>
          <w:rFonts w:ascii="Times New Roman" w:hint="eastAsia"/>
          <w:sz w:val="20"/>
        </w:rPr>
      </w:pPr>
    </w:p>
    <w:p w14:paraId="082D5F38" w14:textId="77777777" w:rsidR="00893E05" w:rsidRDefault="00893E05">
      <w:pPr>
        <w:pStyle w:val="a3"/>
        <w:ind w:left="0"/>
        <w:rPr>
          <w:rFonts w:ascii="Times New Roman"/>
          <w:sz w:val="20"/>
          <w:lang w:eastAsia="zh-CN"/>
        </w:rPr>
      </w:pPr>
    </w:p>
    <w:p w14:paraId="6037E70C" w14:textId="77777777" w:rsidR="0042608B" w:rsidRDefault="0042608B">
      <w:pPr>
        <w:pStyle w:val="a3"/>
        <w:ind w:left="0"/>
        <w:rPr>
          <w:rFonts w:ascii="Times New Roman" w:hint="eastAsia"/>
          <w:sz w:val="20"/>
          <w:lang w:eastAsia="zh-CN"/>
        </w:rPr>
      </w:pPr>
    </w:p>
    <w:p w14:paraId="4FAAA2FC" w14:textId="77777777" w:rsidR="00893E05" w:rsidRDefault="00893E05">
      <w:pPr>
        <w:pStyle w:val="a3"/>
        <w:ind w:left="0"/>
        <w:rPr>
          <w:rFonts w:ascii="Times New Roman"/>
          <w:sz w:val="20"/>
          <w:lang w:eastAsia="zh-CN"/>
        </w:rPr>
      </w:pPr>
    </w:p>
    <w:p w14:paraId="4A655610" w14:textId="77777777" w:rsidR="0042608B" w:rsidRDefault="0042608B">
      <w:pPr>
        <w:pStyle w:val="a3"/>
        <w:ind w:left="0"/>
        <w:rPr>
          <w:rFonts w:ascii="Times New Roman" w:hint="eastAsia"/>
          <w:sz w:val="20"/>
          <w:lang w:eastAsia="zh-CN"/>
        </w:rPr>
      </w:pPr>
    </w:p>
    <w:p w14:paraId="603B8DDD" w14:textId="77777777" w:rsidR="00893E05" w:rsidRDefault="00893E05">
      <w:pPr>
        <w:pStyle w:val="a3"/>
        <w:ind w:left="0"/>
        <w:rPr>
          <w:rFonts w:ascii="Times New Roman" w:hint="eastAsia"/>
          <w:sz w:val="20"/>
        </w:rPr>
      </w:pPr>
    </w:p>
    <w:p w14:paraId="67BE3BD6" w14:textId="77777777" w:rsidR="00893E05" w:rsidRDefault="00893E05">
      <w:pPr>
        <w:pStyle w:val="a3"/>
        <w:spacing w:before="9"/>
        <w:ind w:left="0"/>
        <w:rPr>
          <w:rFonts w:ascii="Times New Roman" w:hint="eastAsia"/>
          <w:sz w:val="20"/>
        </w:rPr>
      </w:pPr>
    </w:p>
    <w:p w14:paraId="080A77CF" w14:textId="77777777" w:rsidR="00893E05" w:rsidRPr="0053308C" w:rsidRDefault="00000000">
      <w:pPr>
        <w:pStyle w:val="a4"/>
        <w:rPr>
          <w:rFonts w:hint="eastAsia"/>
          <w:b/>
          <w:bCs/>
          <w:lang w:eastAsia="zh-CN"/>
        </w:rPr>
      </w:pPr>
      <w:bookmarkStart w:id="0" w:name="有关疫苗追溯标准规范的解读"/>
      <w:bookmarkEnd w:id="0"/>
      <w:r w:rsidRPr="0053308C">
        <w:rPr>
          <w:b/>
          <w:bCs/>
          <w:w w:val="95"/>
          <w:lang w:eastAsia="zh-CN"/>
        </w:rPr>
        <w:t>有关疫苗追溯标准规范的解</w:t>
      </w:r>
      <w:r w:rsidRPr="0053308C">
        <w:rPr>
          <w:b/>
          <w:bCs/>
          <w:spacing w:val="-10"/>
          <w:w w:val="95"/>
          <w:lang w:eastAsia="zh-CN"/>
        </w:rPr>
        <w:t>读</w:t>
      </w:r>
    </w:p>
    <w:p w14:paraId="14A2E55E" w14:textId="77777777" w:rsidR="00893E05" w:rsidRPr="00790064" w:rsidRDefault="00893E05">
      <w:pPr>
        <w:pStyle w:val="a3"/>
        <w:spacing w:before="12"/>
        <w:ind w:left="0"/>
        <w:rPr>
          <w:rFonts w:hint="eastAsia"/>
          <w:sz w:val="28"/>
          <w:szCs w:val="28"/>
          <w:lang w:eastAsia="zh-CN"/>
        </w:rPr>
      </w:pPr>
    </w:p>
    <w:p w14:paraId="4845FE38" w14:textId="77777777" w:rsidR="00893E05" w:rsidRPr="00DF68F1" w:rsidRDefault="00000000" w:rsidP="00DF68F1">
      <w:pPr>
        <w:pStyle w:val="a3"/>
        <w:spacing w:line="360" w:lineRule="auto"/>
        <w:ind w:left="709"/>
        <w:rPr>
          <w:rFonts w:ascii="黑体" w:eastAsia="黑体"/>
          <w:lang w:eastAsia="zh-CN"/>
        </w:rPr>
      </w:pPr>
      <w:r w:rsidRPr="00DF68F1">
        <w:rPr>
          <w:rFonts w:ascii="黑体" w:eastAsia="黑体"/>
          <w:w w:val="95"/>
          <w:lang w:eastAsia="zh-CN"/>
        </w:rPr>
        <w:t>一、标准的编制背景、依据和适用范围</w:t>
      </w:r>
    </w:p>
    <w:p w14:paraId="40369797" w14:textId="7A3C9872" w:rsidR="00893E05" w:rsidRPr="00DF68F1" w:rsidRDefault="000E5A1F" w:rsidP="00DF68F1">
      <w:pPr>
        <w:pStyle w:val="a5"/>
        <w:tabs>
          <w:tab w:val="left" w:pos="709"/>
        </w:tabs>
        <w:spacing w:line="360" w:lineRule="auto"/>
        <w:ind w:left="709" w:firstLine="0"/>
        <w:jc w:val="both"/>
        <w:rPr>
          <w:rFonts w:ascii="仿宋" w:eastAsia="仿宋" w:hAnsi="仿宋" w:hint="eastAsia"/>
          <w:b/>
          <w:bCs/>
          <w:w w:val="95"/>
          <w:sz w:val="32"/>
          <w:lang w:eastAsia="zh-CN"/>
        </w:rPr>
      </w:pPr>
      <w:r w:rsidRPr="00DF68F1">
        <w:rPr>
          <w:rFonts w:ascii="仿宋" w:eastAsia="仿宋" w:hAnsi="仿宋" w:hint="eastAsia"/>
          <w:b/>
          <w:bCs/>
          <w:w w:val="95"/>
          <w:sz w:val="32"/>
          <w:lang w:eastAsia="zh-CN"/>
        </w:rPr>
        <w:t>1.</w:t>
      </w:r>
      <w:r w:rsidR="00000000" w:rsidRPr="00DF68F1">
        <w:rPr>
          <w:rFonts w:ascii="仿宋" w:eastAsia="仿宋" w:hAnsi="仿宋"/>
          <w:b/>
          <w:bCs/>
          <w:w w:val="95"/>
          <w:sz w:val="32"/>
          <w:lang w:eastAsia="zh-CN"/>
        </w:rPr>
        <w:t>什么是疫苗信息化追溯体系？</w:t>
      </w:r>
    </w:p>
    <w:p w14:paraId="2B74AD09" w14:textId="681F56DB" w:rsidR="00893E05" w:rsidRPr="00DF68F1" w:rsidRDefault="00000000" w:rsidP="00DF68F1">
      <w:pPr>
        <w:pStyle w:val="a3"/>
        <w:spacing w:line="360" w:lineRule="auto"/>
        <w:ind w:left="0" w:right="274" w:firstLine="640"/>
        <w:jc w:val="both"/>
        <w:rPr>
          <w:rFonts w:ascii="仿宋" w:eastAsia="仿宋" w:hAnsi="仿宋" w:hint="eastAsia"/>
          <w:b/>
          <w:lang w:eastAsia="zh-CN"/>
        </w:rPr>
      </w:pPr>
      <w:r w:rsidRPr="00DF68F1">
        <w:rPr>
          <w:rFonts w:ascii="仿宋" w:eastAsia="仿宋" w:hAnsi="仿宋"/>
          <w:lang w:eastAsia="zh-CN"/>
        </w:rPr>
        <w:t>答：为贯彻落实药品追溯相关法规，国家药监局规划实施药品信息化追溯体系，按照药品剂型、类别分步推进。根据《中华人民</w:t>
      </w:r>
      <w:r w:rsidRPr="00DF68F1">
        <w:rPr>
          <w:rFonts w:ascii="仿宋" w:eastAsia="仿宋" w:hAnsi="仿宋"/>
          <w:w w:val="95"/>
          <w:lang w:eastAsia="zh-CN"/>
        </w:rPr>
        <w:t>共和国疫苗管理法》中关于国家实行疫苗全程电子追溯制度的要求</w:t>
      </w:r>
      <w:r w:rsidRPr="00DF68F1">
        <w:rPr>
          <w:rFonts w:ascii="仿宋" w:eastAsia="仿宋" w:hAnsi="仿宋"/>
          <w:b/>
          <w:w w:val="95"/>
          <w:lang w:eastAsia="zh-CN"/>
        </w:rPr>
        <w:t>，</w:t>
      </w:r>
      <w:r w:rsidRPr="00DF68F1">
        <w:rPr>
          <w:rFonts w:ascii="仿宋" w:eastAsia="仿宋" w:hAnsi="仿宋"/>
          <w:w w:val="95"/>
          <w:lang w:eastAsia="zh-CN"/>
        </w:rPr>
        <w:t>疫苗作为重点产品应率先建立疫苗信息化追溯体系。疫苗信息化追</w:t>
      </w:r>
      <w:r w:rsidRPr="00DF68F1">
        <w:rPr>
          <w:rFonts w:ascii="仿宋" w:eastAsia="仿宋" w:hAnsi="仿宋"/>
          <w:w w:val="99"/>
          <w:lang w:eastAsia="zh-CN"/>
        </w:rPr>
        <w:t>溯体系是药品信息化追溯体系的重要组成部分，是指疫苗上市许可持有人/生产企业、配送单位、疾病预防控制机构、接种单位、监管部门等疫苗追溯参与方，通过信息化手段，对疫苗生产、流通、使用等各环节的信息进行追踪、溯源的有机整体。</w:t>
      </w:r>
    </w:p>
    <w:p w14:paraId="361F06A4" w14:textId="739CD4EE" w:rsidR="00893E05" w:rsidRPr="00DF68F1" w:rsidRDefault="000E5A1F" w:rsidP="00DF68F1">
      <w:pPr>
        <w:pStyle w:val="a5"/>
        <w:tabs>
          <w:tab w:val="left" w:pos="709"/>
        </w:tabs>
        <w:spacing w:line="360" w:lineRule="auto"/>
        <w:ind w:left="709" w:firstLine="0"/>
        <w:jc w:val="both"/>
        <w:rPr>
          <w:rFonts w:ascii="仿宋" w:eastAsia="仿宋" w:hAnsi="仿宋" w:hint="eastAsia"/>
          <w:b/>
          <w:bCs/>
          <w:w w:val="95"/>
          <w:sz w:val="32"/>
          <w:lang w:eastAsia="zh-CN"/>
        </w:rPr>
      </w:pPr>
      <w:r w:rsidRPr="00DF68F1">
        <w:rPr>
          <w:rFonts w:ascii="仿宋" w:eastAsia="仿宋" w:hAnsi="仿宋" w:hint="eastAsia"/>
          <w:b/>
          <w:bCs/>
          <w:w w:val="95"/>
          <w:sz w:val="32"/>
          <w:lang w:eastAsia="zh-CN"/>
        </w:rPr>
        <w:t>2.</w:t>
      </w:r>
      <w:r w:rsidR="00000000" w:rsidRPr="00DF68F1">
        <w:rPr>
          <w:rFonts w:ascii="仿宋" w:eastAsia="仿宋" w:hAnsi="仿宋"/>
          <w:b/>
          <w:bCs/>
          <w:w w:val="95"/>
          <w:sz w:val="32"/>
          <w:lang w:eastAsia="zh-CN"/>
        </w:rPr>
        <w:t>为什么要制定疫苗追溯标准规范？</w:t>
      </w:r>
    </w:p>
    <w:p w14:paraId="123DB565" w14:textId="1034E619" w:rsidR="00790064" w:rsidRPr="00DF68F1" w:rsidRDefault="00000000" w:rsidP="00DF68F1">
      <w:pPr>
        <w:pStyle w:val="a3"/>
        <w:spacing w:line="360" w:lineRule="auto"/>
        <w:ind w:left="0" w:right="271" w:firstLine="640"/>
        <w:jc w:val="both"/>
        <w:rPr>
          <w:rFonts w:ascii="仿宋" w:eastAsia="仿宋" w:hAnsi="仿宋"/>
          <w:lang w:eastAsia="zh-CN"/>
        </w:rPr>
      </w:pPr>
      <w:r w:rsidRPr="00DF68F1">
        <w:rPr>
          <w:rFonts w:ascii="仿宋" w:eastAsia="仿宋" w:hAnsi="仿宋"/>
          <w:lang w:eastAsia="zh-CN"/>
        </w:rPr>
        <w:t>答：当前我国药品（含疫苗）追溯工作存在多追溯系统并存、数据共享协同难，跨地区追溯难度大等问题，需要统一标准的引领、</w:t>
      </w:r>
      <w:r w:rsidRPr="00DF68F1">
        <w:rPr>
          <w:rFonts w:ascii="仿宋" w:eastAsia="仿宋" w:hAnsi="仿宋"/>
          <w:w w:val="95"/>
          <w:lang w:eastAsia="zh-CN"/>
        </w:rPr>
        <w:t>指导、规范和约束。为解决上述问题，国家药监局于2018年5月，</w:t>
      </w:r>
      <w:r w:rsidRPr="00DF68F1">
        <w:rPr>
          <w:rFonts w:ascii="仿宋" w:eastAsia="仿宋" w:hAnsi="仿宋"/>
          <w:lang w:eastAsia="zh-CN"/>
        </w:rPr>
        <w:t>启动药品（含疫苗）追溯标准规范编制工作，明确信息化追溯体系建设总体要求，统一追溯码编码规则，提出追溯过程中需要企业记录信息的内容和格式，以及数据交换要求等，指导相关方在统一标准规范下共建药品（含疫苗）信息化追溯体系。</w:t>
      </w:r>
    </w:p>
    <w:p w14:paraId="008F7959" w14:textId="73E779EF" w:rsidR="00893E05" w:rsidRPr="00DF68F1" w:rsidRDefault="00000000" w:rsidP="00DF68F1">
      <w:pPr>
        <w:pStyle w:val="a5"/>
        <w:tabs>
          <w:tab w:val="left" w:pos="709"/>
        </w:tabs>
        <w:spacing w:line="360" w:lineRule="auto"/>
        <w:ind w:left="709" w:firstLine="0"/>
        <w:jc w:val="both"/>
        <w:rPr>
          <w:rFonts w:ascii="仿宋" w:eastAsia="仿宋" w:hAnsi="仿宋" w:hint="eastAsia"/>
          <w:b/>
          <w:bCs/>
          <w:w w:val="95"/>
          <w:sz w:val="32"/>
        </w:rPr>
      </w:pPr>
      <w:r w:rsidRPr="00DF68F1">
        <w:rPr>
          <w:rFonts w:ascii="仿宋" w:eastAsia="仿宋" w:hAnsi="仿宋"/>
          <w:b/>
          <w:bCs/>
          <w:w w:val="95"/>
          <w:sz w:val="32"/>
        </w:rPr>
        <w:lastRenderedPageBreak/>
        <w:t>3.疫苗追溯标准规范包含哪些？</w:t>
      </w:r>
    </w:p>
    <w:p w14:paraId="76DDA6C1" w14:textId="00DC32D4" w:rsidR="00893E05" w:rsidRPr="00DF68F1" w:rsidRDefault="00000000" w:rsidP="00DF68F1">
      <w:pPr>
        <w:pStyle w:val="a3"/>
        <w:spacing w:line="360" w:lineRule="auto"/>
        <w:ind w:left="0" w:right="271" w:firstLine="640"/>
        <w:jc w:val="both"/>
        <w:rPr>
          <w:rFonts w:ascii="仿宋" w:eastAsia="仿宋" w:hAnsi="仿宋" w:hint="eastAsia"/>
          <w:lang w:eastAsia="zh-CN"/>
        </w:rPr>
      </w:pPr>
      <w:r w:rsidRPr="00DF68F1">
        <w:rPr>
          <w:rFonts w:ascii="仿宋" w:eastAsia="仿宋" w:hAnsi="仿宋"/>
          <w:lang w:eastAsia="zh-CN"/>
        </w:rPr>
        <w:t xml:space="preserve">答：国家药监局分两次印发了与疫苗追溯相关的 5 项标准：2019年4月印发了《药品信息化追溯体系建设导则》《药品追溯码编码要求》2 项标准，2019 年 8 月印发了《疫苗追溯基本数据集》《疫苗追溯数据交换基本技术要求》和《药品追溯系统基本技术要求》3 项标准。这 5 </w:t>
      </w:r>
      <w:proofErr w:type="gramStart"/>
      <w:r w:rsidRPr="00DF68F1">
        <w:rPr>
          <w:rFonts w:ascii="仿宋" w:eastAsia="仿宋" w:hAnsi="仿宋"/>
          <w:lang w:eastAsia="zh-CN"/>
        </w:rPr>
        <w:t>项标准</w:t>
      </w:r>
      <w:proofErr w:type="gramEnd"/>
      <w:r w:rsidRPr="00DF68F1">
        <w:rPr>
          <w:rFonts w:ascii="仿宋" w:eastAsia="仿宋" w:hAnsi="仿宋"/>
          <w:lang w:eastAsia="zh-CN"/>
        </w:rPr>
        <w:t>将指导各方共同开展疫苗信息化追溯体系建设。</w:t>
      </w:r>
    </w:p>
    <w:p w14:paraId="30533735" w14:textId="0CB0F5AA" w:rsidR="00893E05" w:rsidRPr="00DF68F1" w:rsidRDefault="002D71BF" w:rsidP="00DF68F1">
      <w:pPr>
        <w:pStyle w:val="a5"/>
        <w:tabs>
          <w:tab w:val="left" w:pos="709"/>
        </w:tabs>
        <w:spacing w:line="360" w:lineRule="auto"/>
        <w:ind w:left="709" w:firstLine="0"/>
        <w:jc w:val="both"/>
        <w:rPr>
          <w:rFonts w:ascii="仿宋" w:eastAsia="仿宋" w:hAnsi="仿宋" w:hint="eastAsia"/>
          <w:b/>
          <w:bCs/>
          <w:w w:val="95"/>
          <w:sz w:val="32"/>
          <w:lang w:eastAsia="zh-CN"/>
        </w:rPr>
      </w:pPr>
      <w:r w:rsidRPr="00DF68F1">
        <w:rPr>
          <w:rFonts w:ascii="仿宋" w:eastAsia="仿宋" w:hAnsi="仿宋" w:hint="eastAsia"/>
          <w:b/>
          <w:bCs/>
          <w:w w:val="95"/>
          <w:sz w:val="32"/>
          <w:lang w:eastAsia="zh-CN"/>
        </w:rPr>
        <w:t>4.</w:t>
      </w:r>
      <w:r w:rsidR="00000000" w:rsidRPr="00DF68F1">
        <w:rPr>
          <w:rFonts w:ascii="仿宋" w:eastAsia="仿宋" w:hAnsi="仿宋"/>
          <w:b/>
          <w:bCs/>
          <w:w w:val="95"/>
          <w:sz w:val="32"/>
          <w:lang w:eastAsia="zh-CN"/>
        </w:rPr>
        <w:t>疫苗追溯标准规范的适用范围是什么？</w:t>
      </w:r>
    </w:p>
    <w:p w14:paraId="0379BC82" w14:textId="77777777" w:rsidR="00893E05" w:rsidRPr="00DF68F1" w:rsidRDefault="00000000" w:rsidP="00DF68F1">
      <w:pPr>
        <w:pStyle w:val="a3"/>
        <w:spacing w:line="360" w:lineRule="auto"/>
        <w:ind w:left="0" w:right="271" w:firstLine="640"/>
        <w:jc w:val="both"/>
        <w:rPr>
          <w:rFonts w:ascii="仿宋" w:eastAsia="仿宋" w:hAnsi="仿宋" w:hint="eastAsia"/>
          <w:lang w:eastAsia="zh-CN"/>
        </w:rPr>
      </w:pPr>
      <w:r w:rsidRPr="00DF68F1">
        <w:rPr>
          <w:rFonts w:ascii="仿宋" w:eastAsia="仿宋" w:hAnsi="仿宋"/>
          <w:lang w:eastAsia="zh-CN"/>
        </w:rPr>
        <w:t xml:space="preserve">答：疫苗追溯相关的 5 </w:t>
      </w:r>
      <w:proofErr w:type="gramStart"/>
      <w:r w:rsidRPr="00DF68F1">
        <w:rPr>
          <w:rFonts w:ascii="仿宋" w:eastAsia="仿宋" w:hAnsi="仿宋"/>
          <w:lang w:eastAsia="zh-CN"/>
        </w:rPr>
        <w:t>项标准</w:t>
      </w:r>
      <w:proofErr w:type="gramEnd"/>
      <w:r w:rsidRPr="00DF68F1">
        <w:rPr>
          <w:rFonts w:ascii="仿宋" w:eastAsia="仿宋" w:hAnsi="仿宋"/>
          <w:lang w:eastAsia="zh-CN"/>
        </w:rPr>
        <w:t xml:space="preserve">既相互协调，又各有侧重。《药品信息化追溯体系建设导则》《药品追溯码编码要求》《药品追溯系统基本技术要求》是 3 </w:t>
      </w:r>
      <w:proofErr w:type="gramStart"/>
      <w:r w:rsidRPr="00DF68F1">
        <w:rPr>
          <w:rFonts w:ascii="仿宋" w:eastAsia="仿宋" w:hAnsi="仿宋"/>
          <w:lang w:eastAsia="zh-CN"/>
        </w:rPr>
        <w:t>项基础</w:t>
      </w:r>
      <w:proofErr w:type="gramEnd"/>
      <w:r w:rsidRPr="00DF68F1">
        <w:rPr>
          <w:rFonts w:ascii="仿宋" w:eastAsia="仿宋" w:hAnsi="仿宋"/>
          <w:lang w:eastAsia="zh-CN"/>
        </w:rPr>
        <w:t xml:space="preserve">通用标准。《疫苗追溯基本数据集》《疫苗追溯数据交换基本技术要求》2 </w:t>
      </w:r>
      <w:proofErr w:type="gramStart"/>
      <w:r w:rsidRPr="00DF68F1">
        <w:rPr>
          <w:rFonts w:ascii="仿宋" w:eastAsia="仿宋" w:hAnsi="仿宋"/>
          <w:lang w:eastAsia="zh-CN"/>
        </w:rPr>
        <w:t>项标准</w:t>
      </w:r>
      <w:proofErr w:type="gramEnd"/>
      <w:r w:rsidRPr="00DF68F1">
        <w:rPr>
          <w:rFonts w:ascii="仿宋" w:eastAsia="仿宋" w:hAnsi="仿宋"/>
          <w:lang w:eastAsia="zh-CN"/>
        </w:rPr>
        <w:t>是根据疫苗管理的特殊性，为疫苗追溯量身定制的。</w:t>
      </w:r>
    </w:p>
    <w:p w14:paraId="704168F1" w14:textId="77777777" w:rsidR="00893E05" w:rsidRPr="00DF68F1" w:rsidRDefault="00000000" w:rsidP="00DF68F1">
      <w:pPr>
        <w:pStyle w:val="a3"/>
        <w:spacing w:line="360" w:lineRule="auto"/>
        <w:ind w:left="0" w:right="271" w:firstLine="640"/>
        <w:jc w:val="both"/>
        <w:rPr>
          <w:rFonts w:ascii="仿宋" w:eastAsia="仿宋" w:hAnsi="仿宋" w:hint="eastAsia"/>
          <w:lang w:eastAsia="zh-CN"/>
        </w:rPr>
      </w:pPr>
      <w:r w:rsidRPr="00DF68F1">
        <w:rPr>
          <w:rFonts w:ascii="仿宋" w:eastAsia="仿宋" w:hAnsi="仿宋"/>
          <w:lang w:eastAsia="zh-CN"/>
        </w:rPr>
        <w:t>《药品信息化追溯体系建设导则》规定了药品信息化追溯体系的基本构成及功能要求，以及各参与方的具体任务。适用于药品上市许可持有人/生产企业、经营企业、使用单位、监管部门和社会参与方等协同建设药品信息化追溯体系。</w:t>
      </w:r>
    </w:p>
    <w:p w14:paraId="1863DBB7" w14:textId="77777777" w:rsidR="00893E05" w:rsidRPr="00DF68F1" w:rsidRDefault="00000000" w:rsidP="00DF68F1">
      <w:pPr>
        <w:pStyle w:val="a3"/>
        <w:spacing w:line="360" w:lineRule="auto"/>
        <w:ind w:left="0" w:right="271" w:firstLine="640"/>
        <w:jc w:val="both"/>
        <w:rPr>
          <w:rFonts w:ascii="仿宋" w:eastAsia="仿宋" w:hAnsi="仿宋"/>
          <w:lang w:eastAsia="zh-CN"/>
        </w:rPr>
      </w:pPr>
      <w:r w:rsidRPr="00DF68F1">
        <w:rPr>
          <w:rFonts w:ascii="仿宋" w:eastAsia="仿宋" w:hAnsi="仿宋"/>
          <w:lang w:eastAsia="zh-CN"/>
        </w:rPr>
        <w:t>《药品追溯码编码要求》规定了药品追溯码的具体要求，包括编码原则、编码对象和构成要求。适用于药品上市许可持有人/生产企业、经营企业、使用单位、监管部门和社会参与方等，针对在中国境内销售和使用的药品选择或使用符合本标准的药品追溯码。</w:t>
      </w:r>
    </w:p>
    <w:p w14:paraId="3409E0EF" w14:textId="77777777" w:rsidR="00893E05" w:rsidRPr="00DF68F1" w:rsidRDefault="00000000" w:rsidP="00DF68F1">
      <w:pPr>
        <w:pStyle w:val="a3"/>
        <w:spacing w:line="360" w:lineRule="auto"/>
        <w:ind w:left="0" w:right="271" w:firstLine="640"/>
        <w:jc w:val="both"/>
        <w:rPr>
          <w:rFonts w:ascii="仿宋" w:eastAsia="仿宋" w:hAnsi="仿宋" w:hint="eastAsia"/>
          <w:lang w:eastAsia="zh-CN"/>
        </w:rPr>
      </w:pPr>
      <w:r w:rsidRPr="00DF68F1">
        <w:rPr>
          <w:rFonts w:ascii="仿宋" w:eastAsia="仿宋" w:hAnsi="仿宋"/>
          <w:lang w:eastAsia="zh-CN"/>
        </w:rPr>
        <w:t>《药品追溯系统基本技术要求》对企业自建或者第三方建设的药品追溯系统提出了系统功能、数据存储和</w:t>
      </w:r>
      <w:proofErr w:type="gramStart"/>
      <w:r w:rsidRPr="00DF68F1">
        <w:rPr>
          <w:rFonts w:ascii="仿宋" w:eastAsia="仿宋" w:hAnsi="仿宋"/>
          <w:lang w:eastAsia="zh-CN"/>
        </w:rPr>
        <w:t>安全运</w:t>
      </w:r>
      <w:proofErr w:type="gramEnd"/>
      <w:r w:rsidRPr="00DF68F1">
        <w:rPr>
          <w:rFonts w:ascii="仿宋" w:eastAsia="仿宋" w:hAnsi="仿宋"/>
          <w:lang w:eastAsia="zh-CN"/>
        </w:rPr>
        <w:t>维等具体要求。适用</w:t>
      </w:r>
      <w:r w:rsidRPr="00DF68F1">
        <w:rPr>
          <w:rFonts w:ascii="仿宋" w:eastAsia="仿宋" w:hAnsi="仿宋"/>
          <w:lang w:eastAsia="zh-CN"/>
        </w:rPr>
        <w:lastRenderedPageBreak/>
        <w:t>于药品上市许可持有人/生产企业、经营企业、使用单位、监管部门和社会参与方等建设和使用药品追溯系统。</w:t>
      </w:r>
    </w:p>
    <w:p w14:paraId="7A06EF16" w14:textId="77777777" w:rsidR="00893E05" w:rsidRPr="00DF68F1" w:rsidRDefault="00000000" w:rsidP="00DF68F1">
      <w:pPr>
        <w:pStyle w:val="a3"/>
        <w:spacing w:line="360" w:lineRule="auto"/>
        <w:ind w:right="425" w:firstLine="640"/>
        <w:jc w:val="both"/>
        <w:rPr>
          <w:rFonts w:ascii="仿宋" w:eastAsia="仿宋" w:hAnsi="仿宋" w:hint="eastAsia"/>
          <w:lang w:eastAsia="zh-CN"/>
        </w:rPr>
      </w:pPr>
      <w:r w:rsidRPr="00DF68F1">
        <w:rPr>
          <w:rFonts w:ascii="仿宋" w:eastAsia="仿宋" w:hAnsi="仿宋"/>
          <w:lang w:eastAsia="zh-CN"/>
        </w:rPr>
        <w:t>《疫苗追溯基本数据集》对疫苗信息化追溯体系参与方提出了追溯信息采集和存储的具体要求。适用于疫苗上市许可持有人/生产企业、配送单位、疾病预防控制机构和接种单位采集和储存相应追溯数据。</w:t>
      </w:r>
    </w:p>
    <w:p w14:paraId="770F1D05" w14:textId="77777777" w:rsidR="00893E05" w:rsidRPr="00DF68F1" w:rsidRDefault="00000000" w:rsidP="00DF68F1">
      <w:pPr>
        <w:pStyle w:val="a3"/>
        <w:spacing w:line="360" w:lineRule="auto"/>
        <w:ind w:right="427" w:firstLine="640"/>
        <w:jc w:val="both"/>
        <w:rPr>
          <w:rFonts w:ascii="仿宋" w:eastAsia="仿宋" w:hAnsi="仿宋" w:hint="eastAsia"/>
          <w:lang w:eastAsia="zh-CN"/>
        </w:rPr>
      </w:pPr>
      <w:r w:rsidRPr="00DF68F1">
        <w:rPr>
          <w:rFonts w:ascii="仿宋" w:eastAsia="仿宋" w:hAnsi="仿宋"/>
          <w:lang w:eastAsia="zh-CN"/>
        </w:rPr>
        <w:t>《疫苗追溯数据交换基本技术要求》对疫苗信息化追溯体系参与方提出了追溯数据传输和交换的具体技术要求。适用于疫苗上市许可持有人/生产企业、配送单位、疾病预防控制机构和接种单位传输和交换追溯数据。</w:t>
      </w:r>
    </w:p>
    <w:p w14:paraId="19D936BD" w14:textId="50836D4F" w:rsidR="00893E05" w:rsidRPr="00DF68F1" w:rsidRDefault="00C1059D" w:rsidP="00DF68F1">
      <w:pPr>
        <w:pStyle w:val="a5"/>
        <w:tabs>
          <w:tab w:val="left" w:pos="709"/>
        </w:tabs>
        <w:spacing w:line="360" w:lineRule="auto"/>
        <w:ind w:left="709" w:firstLine="0"/>
        <w:jc w:val="both"/>
        <w:rPr>
          <w:rFonts w:ascii="仿宋" w:eastAsia="仿宋" w:hAnsi="仿宋" w:hint="eastAsia"/>
          <w:b/>
          <w:bCs/>
          <w:w w:val="95"/>
          <w:sz w:val="32"/>
          <w:lang w:eastAsia="zh-CN"/>
        </w:rPr>
      </w:pPr>
      <w:r w:rsidRPr="00DF68F1">
        <w:rPr>
          <w:rFonts w:ascii="仿宋" w:eastAsia="仿宋" w:hAnsi="仿宋" w:hint="eastAsia"/>
          <w:b/>
          <w:bCs/>
          <w:w w:val="95"/>
          <w:sz w:val="32"/>
          <w:lang w:eastAsia="zh-CN"/>
        </w:rPr>
        <w:t>5.</w:t>
      </w:r>
      <w:r w:rsidR="00000000" w:rsidRPr="00DF68F1">
        <w:rPr>
          <w:rFonts w:ascii="仿宋" w:eastAsia="仿宋" w:hAnsi="仿宋"/>
          <w:b/>
          <w:bCs/>
          <w:w w:val="95"/>
          <w:sz w:val="32"/>
          <w:lang w:eastAsia="zh-CN"/>
        </w:rPr>
        <w:t>制定疫苗追溯标准规范的依据有哪些？</w:t>
      </w:r>
    </w:p>
    <w:p w14:paraId="4D20891D" w14:textId="69ACD49E" w:rsidR="00893E05" w:rsidRPr="00DF68F1" w:rsidRDefault="00000000" w:rsidP="00DF68F1">
      <w:pPr>
        <w:pStyle w:val="a3"/>
        <w:spacing w:line="360" w:lineRule="auto"/>
        <w:ind w:right="427" w:firstLine="640"/>
        <w:jc w:val="both"/>
        <w:rPr>
          <w:rFonts w:ascii="仿宋" w:eastAsia="仿宋" w:hAnsi="仿宋" w:hint="eastAsia"/>
          <w:lang w:eastAsia="zh-CN"/>
        </w:rPr>
      </w:pPr>
      <w:r w:rsidRPr="00DF68F1">
        <w:rPr>
          <w:rFonts w:ascii="仿宋" w:eastAsia="仿宋" w:hAnsi="仿宋"/>
          <w:lang w:eastAsia="zh-CN"/>
        </w:rPr>
        <w:t>答：标准的编制严格依据《中华人民共和国疫苗管理法》《关于加快推进重要产品追溯体系建设的意见》（国办发〔2015〕95  号文）《关于推动食品药品生产经营者完善追溯体系的意见（食药监科〔2016〕122 号）》《关于药品信息化追溯体系建设的指导意见（国药监药管〔2018〕35 号）》等法规文件，遵循追溯相关国家标准和行业标准，紧密结合当前药品追溯系统的建设和使用情况以及各追溯参与方工作现状和实际需求。</w:t>
      </w:r>
    </w:p>
    <w:p w14:paraId="7438F8F2" w14:textId="240DED22" w:rsidR="00893E05" w:rsidRPr="00DF68F1" w:rsidRDefault="00C1059D" w:rsidP="00DF68F1">
      <w:pPr>
        <w:pStyle w:val="a5"/>
        <w:tabs>
          <w:tab w:val="left" w:pos="709"/>
        </w:tabs>
        <w:spacing w:line="360" w:lineRule="auto"/>
        <w:ind w:left="709" w:firstLine="0"/>
        <w:jc w:val="both"/>
        <w:rPr>
          <w:rFonts w:ascii="仿宋" w:eastAsia="仿宋" w:hAnsi="仿宋" w:hint="eastAsia"/>
          <w:b/>
          <w:bCs/>
          <w:w w:val="95"/>
          <w:sz w:val="32"/>
          <w:lang w:eastAsia="zh-CN"/>
        </w:rPr>
      </w:pPr>
      <w:r w:rsidRPr="00DF68F1">
        <w:rPr>
          <w:rFonts w:ascii="仿宋" w:eastAsia="仿宋" w:hAnsi="仿宋" w:hint="eastAsia"/>
          <w:b/>
          <w:bCs/>
          <w:w w:val="95"/>
          <w:sz w:val="32"/>
          <w:lang w:eastAsia="zh-CN"/>
        </w:rPr>
        <w:t>6.</w:t>
      </w:r>
      <w:r w:rsidR="00000000" w:rsidRPr="00DF68F1">
        <w:rPr>
          <w:rFonts w:ascii="仿宋" w:eastAsia="仿宋" w:hAnsi="仿宋"/>
          <w:b/>
          <w:bCs/>
          <w:w w:val="95"/>
          <w:sz w:val="32"/>
          <w:lang w:eastAsia="zh-CN"/>
        </w:rPr>
        <w:t>标准编制经历的过程？</w:t>
      </w:r>
    </w:p>
    <w:p w14:paraId="48B34CD5" w14:textId="77777777" w:rsidR="00893E05" w:rsidRPr="00DF68F1" w:rsidRDefault="00000000" w:rsidP="00DF68F1">
      <w:pPr>
        <w:pStyle w:val="a3"/>
        <w:spacing w:line="360" w:lineRule="auto"/>
        <w:ind w:right="427" w:firstLine="640"/>
        <w:jc w:val="both"/>
        <w:rPr>
          <w:rFonts w:ascii="仿宋" w:eastAsia="仿宋" w:hAnsi="仿宋"/>
          <w:lang w:eastAsia="zh-CN"/>
        </w:rPr>
      </w:pPr>
      <w:r w:rsidRPr="00DF68F1">
        <w:rPr>
          <w:rFonts w:ascii="仿宋" w:eastAsia="仿宋" w:hAnsi="仿宋"/>
          <w:lang w:eastAsia="zh-CN"/>
        </w:rPr>
        <w:t>答：国家药监局会同国家</w:t>
      </w:r>
      <w:proofErr w:type="gramStart"/>
      <w:r w:rsidRPr="00DF68F1">
        <w:rPr>
          <w:rFonts w:ascii="仿宋" w:eastAsia="仿宋" w:hAnsi="仿宋"/>
          <w:lang w:eastAsia="zh-CN"/>
        </w:rPr>
        <w:t>卫健委开展</w:t>
      </w:r>
      <w:proofErr w:type="gramEnd"/>
      <w:r w:rsidRPr="00DF68F1">
        <w:rPr>
          <w:rFonts w:ascii="仿宋" w:eastAsia="仿宋" w:hAnsi="仿宋"/>
          <w:lang w:eastAsia="zh-CN"/>
        </w:rPr>
        <w:t>追溯标准的编制，经历了</w:t>
      </w:r>
    </w:p>
    <w:p w14:paraId="45F2849B"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lang w:eastAsia="zh-CN"/>
        </w:rPr>
        <w:t>广泛调研、专题研究、整理起草、征求意见、专家评审、报批发布等多个阶段。在标准编制过程中，公开征求疫苗上市许可持有人/生</w:t>
      </w:r>
      <w:r w:rsidRPr="00DF68F1">
        <w:rPr>
          <w:rFonts w:ascii="仿宋" w:eastAsia="仿宋" w:hAnsi="仿宋"/>
          <w:lang w:eastAsia="zh-CN"/>
        </w:rPr>
        <w:lastRenderedPageBreak/>
        <w:t>产企业、配送单位、疾病预防控制机构、接种单位、监管部门、第三方技术机构等追溯参与方的意见和建议，通过专题座谈、网络、媒体等多种渠道充分吸纳各方意见，多次组织召开专家研讨会逐字逐句进行研讨，根据相关意见数易其稿，最终完成了标准的编制。</w:t>
      </w:r>
    </w:p>
    <w:p w14:paraId="03D5F8B7" w14:textId="77777777" w:rsidR="00893E05" w:rsidRPr="00DF68F1" w:rsidRDefault="00000000" w:rsidP="00DF68F1">
      <w:pPr>
        <w:pStyle w:val="a3"/>
        <w:spacing w:line="360" w:lineRule="auto"/>
        <w:ind w:left="709"/>
        <w:rPr>
          <w:rFonts w:ascii="黑体" w:eastAsia="黑体"/>
          <w:w w:val="95"/>
          <w:lang w:eastAsia="zh-CN"/>
        </w:rPr>
      </w:pPr>
      <w:r w:rsidRPr="00DF68F1">
        <w:rPr>
          <w:rFonts w:ascii="黑体" w:eastAsia="黑体"/>
          <w:w w:val="95"/>
          <w:lang w:eastAsia="zh-CN"/>
        </w:rPr>
        <w:t>二、重点概念解释</w:t>
      </w:r>
    </w:p>
    <w:p w14:paraId="42B3461E"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lang w:eastAsia="zh-CN"/>
        </w:rPr>
        <w:t>以下重点概念适用于药品，包含疫苗。</w:t>
      </w:r>
    </w:p>
    <w:p w14:paraId="7295CB3B"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药品追溯</w:t>
      </w:r>
      <w:r w:rsidRPr="00DF68F1">
        <w:rPr>
          <w:rFonts w:ascii="仿宋" w:eastAsia="仿宋" w:hAnsi="仿宋"/>
          <w:lang w:eastAsia="zh-CN"/>
        </w:rPr>
        <w:t>是指通过记录和标识，正向追踪和逆向溯源药品的生产、流通和使用情况，获取药品全生命周期追溯信息的活动。</w:t>
      </w:r>
    </w:p>
    <w:p w14:paraId="77A28A92"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药品信息化追溯体系</w:t>
      </w:r>
      <w:r w:rsidRPr="00DF68F1">
        <w:rPr>
          <w:rFonts w:ascii="仿宋" w:eastAsia="仿宋" w:hAnsi="仿宋"/>
          <w:lang w:eastAsia="zh-CN"/>
        </w:rPr>
        <w:t>是指药品上市许可持有人/生产企业、经营企业、使用单位、监管部门和社会参与方等，通过信息化手段，对药品生产、流通、使用等各环节的信息进行追踪、溯源的有机整体。</w:t>
      </w:r>
    </w:p>
    <w:p w14:paraId="060D5147" w14:textId="3BC79B50"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药品信息化追溯体系参与方</w:t>
      </w:r>
      <w:r w:rsidRPr="00DF68F1">
        <w:rPr>
          <w:rFonts w:ascii="仿宋" w:eastAsia="仿宋" w:hAnsi="仿宋"/>
          <w:lang w:eastAsia="zh-CN"/>
        </w:rPr>
        <w:t>主要包括药品上市许可持有人/生产企业、经营企业、使用单位、监管部门和社会参与方等。各参与方应按照有关法规和标准，履行共建药品信息化追溯体系的责任和义务。</w:t>
      </w:r>
    </w:p>
    <w:p w14:paraId="34D79D7D" w14:textId="546396B8"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药品追溯码</w:t>
      </w:r>
      <w:r w:rsidRPr="00DF68F1">
        <w:rPr>
          <w:rFonts w:ascii="仿宋" w:eastAsia="仿宋" w:hAnsi="仿宋"/>
          <w:lang w:eastAsia="zh-CN"/>
        </w:rPr>
        <w:t>是建立药品与其对应追溯数据的钥匙，是实现“一物一码，物码同追”的必要前提和重要基础。药品追溯码是由一系列数字、字母和（或）符号组成的代码，包含药品标识代码段和生产标识代码段，用于唯一标识药品销售包装单元,通过一定的载体（如一维码、二维码、电子标签等）附着在药品产品上，应可被扫码设备和人眼识别。药品标识为识别药品上市许可持有人/生产企业、药品名称、剂型、制剂规格和包装规格的唯一代码；生产</w:t>
      </w:r>
      <w:proofErr w:type="gramStart"/>
      <w:r w:rsidRPr="00DF68F1">
        <w:rPr>
          <w:rFonts w:ascii="仿宋" w:eastAsia="仿宋" w:hAnsi="仿宋"/>
          <w:lang w:eastAsia="zh-CN"/>
        </w:rPr>
        <w:t>标识由药</w:t>
      </w:r>
      <w:proofErr w:type="gramEnd"/>
      <w:r w:rsidRPr="00DF68F1">
        <w:rPr>
          <w:rFonts w:ascii="仿宋" w:eastAsia="仿宋" w:hAnsi="仿宋"/>
          <w:lang w:eastAsia="zh-CN"/>
        </w:rPr>
        <w:t xml:space="preserve"> 品生产过程相关信息的代码组成，根据“一物一码，物码同追”的要求，应至少包含药品</w:t>
      </w:r>
      <w:r w:rsidRPr="00DF68F1">
        <w:rPr>
          <w:rFonts w:ascii="仿宋" w:eastAsia="仿宋" w:hAnsi="仿宋"/>
          <w:lang w:eastAsia="zh-CN"/>
        </w:rPr>
        <w:lastRenderedPageBreak/>
        <w:t>单品序列号，根据监管和实际应用需求，还可包含药品生产批次号、生产日期、有效期等。</w:t>
      </w:r>
    </w:p>
    <w:p w14:paraId="4EC18A3E"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国家药品标识码</w:t>
      </w:r>
      <w:r w:rsidRPr="00DF68F1">
        <w:rPr>
          <w:rFonts w:ascii="仿宋" w:eastAsia="仿宋" w:hAnsi="仿宋"/>
          <w:lang w:eastAsia="zh-CN"/>
        </w:rPr>
        <w:t>是用于唯一标识与药品上市许可持有人、生产</w:t>
      </w:r>
    </w:p>
    <w:p w14:paraId="71E15173" w14:textId="77777777"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lang w:eastAsia="zh-CN"/>
        </w:rPr>
        <w:t>企业、药品通用名、剂型、制剂规格和包装规格对应药品的代码，由药品上市许可持有人/生产企业向药品追溯协同服务平台备案药品包装规格相关信息后产生，将在药品追溯协同服务平台上公开，供业界使用。</w:t>
      </w:r>
    </w:p>
    <w:p w14:paraId="21BFACDD" w14:textId="0B99EDE9"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药品追溯系统</w:t>
      </w:r>
      <w:r w:rsidRPr="00DF68F1">
        <w:rPr>
          <w:rFonts w:ascii="仿宋" w:eastAsia="仿宋" w:hAnsi="仿宋"/>
          <w:lang w:eastAsia="zh-CN"/>
        </w:rPr>
        <w:t>是用于药品信息化追溯体系参与方按照质量管理规范要求，记录和储存药品生产、流通及使用等全过程的追溯信息的信息系统，用于实现追溯信息存储、交换、互联互通。</w:t>
      </w:r>
    </w:p>
    <w:p w14:paraId="203A61E4" w14:textId="2B48A7B0"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药品追溯协同服务平台</w:t>
      </w:r>
      <w:r w:rsidRPr="00DF68F1">
        <w:rPr>
          <w:rFonts w:ascii="仿宋" w:eastAsia="仿宋" w:hAnsi="仿宋"/>
          <w:lang w:eastAsia="zh-CN"/>
        </w:rPr>
        <w:t>是药品信息化追溯体系中的“桥梁”和“枢纽”，通过提供不同药品追溯系统的访问地址解析、药品追溯码编码规则的备案和管理，以及药品、企业基础数据分发等服务，辅助实现药品追溯相关信息系统的数据共享和业务协同。</w:t>
      </w:r>
    </w:p>
    <w:p w14:paraId="36DC8D21" w14:textId="1D55CC94" w:rsidR="00893E05" w:rsidRPr="00DF68F1" w:rsidRDefault="00000000" w:rsidP="00DF68F1">
      <w:pPr>
        <w:pStyle w:val="a3"/>
        <w:spacing w:line="360" w:lineRule="auto"/>
        <w:ind w:left="0" w:right="427" w:firstLine="640"/>
        <w:jc w:val="both"/>
        <w:rPr>
          <w:rFonts w:ascii="仿宋" w:eastAsia="仿宋" w:hAnsi="仿宋" w:hint="eastAsia"/>
          <w:lang w:eastAsia="zh-CN"/>
        </w:rPr>
      </w:pPr>
      <w:r w:rsidRPr="00DF68F1">
        <w:rPr>
          <w:rFonts w:ascii="仿宋" w:eastAsia="仿宋" w:hAnsi="仿宋"/>
          <w:b/>
          <w:bCs/>
          <w:lang w:eastAsia="zh-CN"/>
        </w:rPr>
        <w:t>药品追溯监管系统</w:t>
      </w:r>
      <w:r w:rsidRPr="00DF68F1">
        <w:rPr>
          <w:rFonts w:ascii="仿宋" w:eastAsia="仿宋" w:hAnsi="仿宋"/>
          <w:lang w:eastAsia="zh-CN"/>
        </w:rPr>
        <w:t>是药品监督管理部门根据自身的药品追溯监管需求而建设的信息系统，可分为国家和省级药品追溯监管系统，应具有追溯数据获取、数据统计、数据分析、智能预警、召回管理、信息发布等功能，辅助相关部门开展日常检查、协同监管等工作，加强风险</w:t>
      </w:r>
      <w:proofErr w:type="gramStart"/>
      <w:r w:rsidRPr="00DF68F1">
        <w:rPr>
          <w:rFonts w:ascii="仿宋" w:eastAsia="仿宋" w:hAnsi="仿宋"/>
          <w:lang w:eastAsia="zh-CN"/>
        </w:rPr>
        <w:t>研</w:t>
      </w:r>
      <w:proofErr w:type="gramEnd"/>
      <w:r w:rsidRPr="00DF68F1">
        <w:rPr>
          <w:rFonts w:ascii="仿宋" w:eastAsia="仿宋" w:hAnsi="仿宋"/>
          <w:lang w:eastAsia="zh-CN"/>
        </w:rPr>
        <w:t>判和预测预警。</w:t>
      </w:r>
    </w:p>
    <w:sectPr w:rsidR="00893E05" w:rsidRPr="00DF68F1">
      <w:footerReference w:type="even" r:id="rId7"/>
      <w:footerReference w:type="default" r:id="rId8"/>
      <w:pgSz w:w="11910" w:h="16850"/>
      <w:pgMar w:top="1380" w:right="700" w:bottom="1700" w:left="1020" w:header="0" w:footer="15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6E0C7" w14:textId="77777777" w:rsidR="00620E21" w:rsidRDefault="00620E21">
      <w:pPr>
        <w:rPr>
          <w:rFonts w:hint="eastAsia"/>
        </w:rPr>
      </w:pPr>
      <w:r>
        <w:separator/>
      </w:r>
    </w:p>
  </w:endnote>
  <w:endnote w:type="continuationSeparator" w:id="0">
    <w:p w14:paraId="0B5DF757" w14:textId="77777777" w:rsidR="00620E21" w:rsidRDefault="00620E2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5B725" w14:textId="77777777" w:rsidR="00893E05" w:rsidRDefault="00000000">
    <w:pPr>
      <w:pStyle w:val="a3"/>
      <w:spacing w:line="14" w:lineRule="auto"/>
      <w:ind w:left="0"/>
      <w:rPr>
        <w:rFonts w:hint="eastAsia"/>
        <w:sz w:val="20"/>
      </w:rPr>
    </w:pPr>
    <w:r>
      <w:rPr>
        <w:rFonts w:hint="eastAsia"/>
      </w:rPr>
      <w:pict w14:anchorId="10729518">
        <v:shapetype id="_x0000_t202" coordsize="21600,21600" o:spt="202" path="m,l,21600r21600,l21600,xe">
          <v:stroke joinstyle="miter"/>
          <v:path gradientshapeok="t" o:connecttype="rect"/>
        </v:shapetype>
        <v:shape id="docshape2" o:spid="_x0000_s1025" type="#_x0000_t202" style="position:absolute;margin-left:76.65pt;margin-top:755.9pt;width:37.2pt;height:16.05pt;z-index:-15779840;mso-position-horizontal-relative:page;mso-position-vertical-relative:page" filled="f" stroked="f">
          <v:textbox inset="0,0,0,0">
            <w:txbxContent>
              <w:p w14:paraId="581E2EF3" w14:textId="77777777" w:rsidR="00893E05" w:rsidRDefault="00000000">
                <w:pPr>
                  <w:spacing w:line="321" w:lineRule="exact"/>
                  <w:ind w:left="20"/>
                  <w:rPr>
                    <w:rFonts w:hint="eastAsia"/>
                    <w:sz w:val="28"/>
                  </w:rPr>
                </w:pPr>
                <w:r>
                  <w:rPr>
                    <w:sz w:val="28"/>
                  </w:rPr>
                  <w:t>—</w:t>
                </w:r>
                <w:r>
                  <w:rPr>
                    <w:spacing w:val="-5"/>
                    <w:sz w:val="28"/>
                  </w:rPr>
                  <w:fldChar w:fldCharType="begin"/>
                </w:r>
                <w:r>
                  <w:rPr>
                    <w:spacing w:val="-5"/>
                    <w:sz w:val="28"/>
                  </w:rPr>
                  <w:instrText xml:space="preserve"> PAGE </w:instrText>
                </w:r>
                <w:r>
                  <w:rPr>
                    <w:spacing w:val="-5"/>
                    <w:sz w:val="28"/>
                  </w:rPr>
                  <w:fldChar w:fldCharType="separate"/>
                </w:r>
                <w:r>
                  <w:rPr>
                    <w:spacing w:val="-5"/>
                    <w:sz w:val="28"/>
                  </w:rPr>
                  <w:t>2</w:t>
                </w:r>
                <w:r>
                  <w:rPr>
                    <w:spacing w:val="-5"/>
                    <w:sz w:val="28"/>
                  </w:rPr>
                  <w:fldChar w:fldCharType="end"/>
                </w:r>
                <w:r>
                  <w:rPr>
                    <w:spacing w:val="-5"/>
                    <w:sz w:val="28"/>
                  </w:rPr>
                  <w:t>—</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0E3EB" w14:textId="77777777" w:rsidR="00893E05" w:rsidRDefault="00000000">
    <w:pPr>
      <w:pStyle w:val="a3"/>
      <w:spacing w:line="14" w:lineRule="auto"/>
      <w:ind w:left="0"/>
      <w:rPr>
        <w:rFonts w:hint="eastAsia"/>
        <w:sz w:val="20"/>
      </w:rPr>
    </w:pPr>
    <w:r>
      <w:rPr>
        <w:rFonts w:hint="eastAsia"/>
      </w:rPr>
      <w:pict w14:anchorId="16CE72AB">
        <v:shapetype id="_x0000_t202" coordsize="21600,21600" o:spt="202" path="m,l,21600r21600,l21600,xe">
          <v:stroke joinstyle="miter"/>
          <v:path gradientshapeok="t" o:connecttype="rect"/>
        </v:shapetype>
        <v:shape id="docshape1" o:spid="_x0000_s1026" type="#_x0000_t202" style="position:absolute;margin-left:481.65pt;margin-top:755.9pt;width:37.2pt;height:16.05pt;z-index:-15780352;mso-position-horizontal-relative:page;mso-position-vertical-relative:page" filled="f" stroked="f">
          <v:textbox inset="0,0,0,0">
            <w:txbxContent>
              <w:p w14:paraId="0911CD0E" w14:textId="77777777" w:rsidR="00893E05" w:rsidRDefault="00000000">
                <w:pPr>
                  <w:spacing w:line="321" w:lineRule="exact"/>
                  <w:ind w:left="20"/>
                  <w:rPr>
                    <w:rFonts w:hint="eastAsia"/>
                    <w:sz w:val="28"/>
                  </w:rPr>
                </w:pPr>
                <w:r>
                  <w:rPr>
                    <w:sz w:val="28"/>
                  </w:rPr>
                  <w:t>—</w:t>
                </w:r>
                <w:r>
                  <w:rPr>
                    <w:spacing w:val="-5"/>
                    <w:sz w:val="28"/>
                  </w:rPr>
                  <w:fldChar w:fldCharType="begin"/>
                </w:r>
                <w:r>
                  <w:rPr>
                    <w:spacing w:val="-5"/>
                    <w:sz w:val="28"/>
                  </w:rPr>
                  <w:instrText xml:space="preserve"> PAGE </w:instrText>
                </w:r>
                <w:r>
                  <w:rPr>
                    <w:spacing w:val="-5"/>
                    <w:sz w:val="28"/>
                  </w:rPr>
                  <w:fldChar w:fldCharType="separate"/>
                </w:r>
                <w:r>
                  <w:rPr>
                    <w:spacing w:val="-5"/>
                    <w:sz w:val="28"/>
                  </w:rPr>
                  <w:t>1</w:t>
                </w:r>
                <w:r>
                  <w:rPr>
                    <w:spacing w:val="-5"/>
                    <w:sz w:val="28"/>
                  </w:rPr>
                  <w:fldChar w:fldCharType="end"/>
                </w:r>
                <w:r>
                  <w:rPr>
                    <w:spacing w:val="-5"/>
                    <w:sz w:val="28"/>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6D369" w14:textId="77777777" w:rsidR="00620E21" w:rsidRDefault="00620E21">
      <w:pPr>
        <w:rPr>
          <w:rFonts w:hint="eastAsia"/>
        </w:rPr>
      </w:pPr>
      <w:r>
        <w:separator/>
      </w:r>
    </w:p>
  </w:footnote>
  <w:footnote w:type="continuationSeparator" w:id="0">
    <w:p w14:paraId="6AB1BE80" w14:textId="77777777" w:rsidR="00620E21" w:rsidRDefault="00620E2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001D4"/>
    <w:multiLevelType w:val="hybridMultilevel"/>
    <w:tmpl w:val="8B965A9A"/>
    <w:lvl w:ilvl="0" w:tplc="4A6EF0E6">
      <w:start w:val="1"/>
      <w:numFmt w:val="decimal"/>
      <w:lvlText w:val="%1."/>
      <w:lvlJc w:val="left"/>
      <w:pPr>
        <w:ind w:left="1360" w:hanging="322"/>
        <w:jc w:val="left"/>
      </w:pPr>
      <w:rPr>
        <w:rFonts w:ascii="宋体" w:eastAsia="宋体" w:hAnsi="宋体" w:cs="宋体" w:hint="default"/>
        <w:b w:val="0"/>
        <w:bCs w:val="0"/>
        <w:i w:val="0"/>
        <w:iCs w:val="0"/>
        <w:spacing w:val="-2"/>
        <w:w w:val="99"/>
        <w:sz w:val="30"/>
        <w:szCs w:val="30"/>
      </w:rPr>
    </w:lvl>
    <w:lvl w:ilvl="1" w:tplc="3CA88CFC">
      <w:numFmt w:val="bullet"/>
      <w:lvlText w:val="•"/>
      <w:lvlJc w:val="left"/>
      <w:pPr>
        <w:ind w:left="2242" w:hanging="322"/>
      </w:pPr>
      <w:rPr>
        <w:rFonts w:hint="default"/>
      </w:rPr>
    </w:lvl>
    <w:lvl w:ilvl="2" w:tplc="10FE34C4">
      <w:numFmt w:val="bullet"/>
      <w:lvlText w:val="•"/>
      <w:lvlJc w:val="left"/>
      <w:pPr>
        <w:ind w:left="3125" w:hanging="322"/>
      </w:pPr>
      <w:rPr>
        <w:rFonts w:hint="default"/>
      </w:rPr>
    </w:lvl>
    <w:lvl w:ilvl="3" w:tplc="9782DDC4">
      <w:numFmt w:val="bullet"/>
      <w:lvlText w:val="•"/>
      <w:lvlJc w:val="left"/>
      <w:pPr>
        <w:ind w:left="4007" w:hanging="322"/>
      </w:pPr>
      <w:rPr>
        <w:rFonts w:hint="default"/>
      </w:rPr>
    </w:lvl>
    <w:lvl w:ilvl="4" w:tplc="27CC015C">
      <w:numFmt w:val="bullet"/>
      <w:lvlText w:val="•"/>
      <w:lvlJc w:val="left"/>
      <w:pPr>
        <w:ind w:left="4890" w:hanging="322"/>
      </w:pPr>
      <w:rPr>
        <w:rFonts w:hint="default"/>
      </w:rPr>
    </w:lvl>
    <w:lvl w:ilvl="5" w:tplc="818201A8">
      <w:numFmt w:val="bullet"/>
      <w:lvlText w:val="•"/>
      <w:lvlJc w:val="left"/>
      <w:pPr>
        <w:ind w:left="5773" w:hanging="322"/>
      </w:pPr>
      <w:rPr>
        <w:rFonts w:hint="default"/>
      </w:rPr>
    </w:lvl>
    <w:lvl w:ilvl="6" w:tplc="D5BC2580">
      <w:numFmt w:val="bullet"/>
      <w:lvlText w:val="•"/>
      <w:lvlJc w:val="left"/>
      <w:pPr>
        <w:ind w:left="6655" w:hanging="322"/>
      </w:pPr>
      <w:rPr>
        <w:rFonts w:hint="default"/>
      </w:rPr>
    </w:lvl>
    <w:lvl w:ilvl="7" w:tplc="115C488E">
      <w:numFmt w:val="bullet"/>
      <w:lvlText w:val="•"/>
      <w:lvlJc w:val="left"/>
      <w:pPr>
        <w:ind w:left="7538" w:hanging="322"/>
      </w:pPr>
      <w:rPr>
        <w:rFonts w:hint="default"/>
      </w:rPr>
    </w:lvl>
    <w:lvl w:ilvl="8" w:tplc="F99C9064">
      <w:numFmt w:val="bullet"/>
      <w:lvlText w:val="•"/>
      <w:lvlJc w:val="left"/>
      <w:pPr>
        <w:ind w:left="8421" w:hanging="322"/>
      </w:pPr>
      <w:rPr>
        <w:rFonts w:hint="default"/>
      </w:rPr>
    </w:lvl>
  </w:abstractNum>
  <w:abstractNum w:abstractNumId="1" w15:restartNumberingAfterBreak="0">
    <w:nsid w:val="7CD964EA"/>
    <w:multiLevelType w:val="hybridMultilevel"/>
    <w:tmpl w:val="5B4624CC"/>
    <w:lvl w:ilvl="0" w:tplc="EE8AA770">
      <w:start w:val="4"/>
      <w:numFmt w:val="decimal"/>
      <w:lvlText w:val="%1."/>
      <w:lvlJc w:val="left"/>
      <w:pPr>
        <w:ind w:left="1235" w:hanging="481"/>
        <w:jc w:val="right"/>
      </w:pPr>
      <w:rPr>
        <w:rFonts w:ascii="宋体" w:eastAsia="宋体" w:hAnsi="宋体" w:cs="宋体" w:hint="default"/>
        <w:b w:val="0"/>
        <w:bCs w:val="0"/>
        <w:i w:val="0"/>
        <w:iCs w:val="0"/>
        <w:spacing w:val="0"/>
        <w:w w:val="99"/>
        <w:sz w:val="32"/>
        <w:szCs w:val="32"/>
      </w:rPr>
    </w:lvl>
    <w:lvl w:ilvl="1" w:tplc="052A70D4">
      <w:numFmt w:val="bullet"/>
      <w:lvlText w:val="•"/>
      <w:lvlJc w:val="left"/>
      <w:pPr>
        <w:ind w:left="2134" w:hanging="481"/>
      </w:pPr>
      <w:rPr>
        <w:rFonts w:hint="default"/>
      </w:rPr>
    </w:lvl>
    <w:lvl w:ilvl="2" w:tplc="DFC07F20">
      <w:numFmt w:val="bullet"/>
      <w:lvlText w:val="•"/>
      <w:lvlJc w:val="left"/>
      <w:pPr>
        <w:ind w:left="3029" w:hanging="481"/>
      </w:pPr>
      <w:rPr>
        <w:rFonts w:hint="default"/>
      </w:rPr>
    </w:lvl>
    <w:lvl w:ilvl="3" w:tplc="4DE6D25E">
      <w:numFmt w:val="bullet"/>
      <w:lvlText w:val="•"/>
      <w:lvlJc w:val="left"/>
      <w:pPr>
        <w:ind w:left="3923" w:hanging="481"/>
      </w:pPr>
      <w:rPr>
        <w:rFonts w:hint="default"/>
      </w:rPr>
    </w:lvl>
    <w:lvl w:ilvl="4" w:tplc="ED407344">
      <w:numFmt w:val="bullet"/>
      <w:lvlText w:val="•"/>
      <w:lvlJc w:val="left"/>
      <w:pPr>
        <w:ind w:left="4818" w:hanging="481"/>
      </w:pPr>
      <w:rPr>
        <w:rFonts w:hint="default"/>
      </w:rPr>
    </w:lvl>
    <w:lvl w:ilvl="5" w:tplc="7B36470E">
      <w:numFmt w:val="bullet"/>
      <w:lvlText w:val="•"/>
      <w:lvlJc w:val="left"/>
      <w:pPr>
        <w:ind w:left="5713" w:hanging="481"/>
      </w:pPr>
      <w:rPr>
        <w:rFonts w:hint="default"/>
      </w:rPr>
    </w:lvl>
    <w:lvl w:ilvl="6" w:tplc="55F2AB6A">
      <w:numFmt w:val="bullet"/>
      <w:lvlText w:val="•"/>
      <w:lvlJc w:val="left"/>
      <w:pPr>
        <w:ind w:left="6607" w:hanging="481"/>
      </w:pPr>
      <w:rPr>
        <w:rFonts w:hint="default"/>
      </w:rPr>
    </w:lvl>
    <w:lvl w:ilvl="7" w:tplc="A43C2DA8">
      <w:numFmt w:val="bullet"/>
      <w:lvlText w:val="•"/>
      <w:lvlJc w:val="left"/>
      <w:pPr>
        <w:ind w:left="7502" w:hanging="481"/>
      </w:pPr>
      <w:rPr>
        <w:rFonts w:hint="default"/>
      </w:rPr>
    </w:lvl>
    <w:lvl w:ilvl="8" w:tplc="E8FE0C2A">
      <w:numFmt w:val="bullet"/>
      <w:lvlText w:val="•"/>
      <w:lvlJc w:val="left"/>
      <w:pPr>
        <w:ind w:left="8397" w:hanging="481"/>
      </w:pPr>
      <w:rPr>
        <w:rFonts w:hint="default"/>
      </w:rPr>
    </w:lvl>
  </w:abstractNum>
  <w:num w:numId="1" w16cid:durableId="1593777895">
    <w:abstractNumId w:val="1"/>
  </w:num>
  <w:num w:numId="2" w16cid:durableId="98989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93E05"/>
    <w:rsid w:val="000A552B"/>
    <w:rsid w:val="000E5A1F"/>
    <w:rsid w:val="00104C38"/>
    <w:rsid w:val="002D71BF"/>
    <w:rsid w:val="0042608B"/>
    <w:rsid w:val="0053308C"/>
    <w:rsid w:val="00620E21"/>
    <w:rsid w:val="00790064"/>
    <w:rsid w:val="00893E05"/>
    <w:rsid w:val="00C1059D"/>
    <w:rsid w:val="00C968AB"/>
    <w:rsid w:val="00DF68F1"/>
    <w:rsid w:val="00EF6117"/>
    <w:rsid w:val="00F7082F"/>
    <w:rsid w:val="00F84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E1191"/>
  <w15:docId w15:val="{F8BF6D79-A989-41E4-9A7D-13A43F58B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98"/>
    </w:pPr>
    <w:rPr>
      <w:sz w:val="32"/>
      <w:szCs w:val="32"/>
    </w:rPr>
  </w:style>
  <w:style w:type="paragraph" w:styleId="a4">
    <w:name w:val="Title"/>
    <w:basedOn w:val="a"/>
    <w:uiPriority w:val="10"/>
    <w:qFormat/>
    <w:pPr>
      <w:spacing w:before="57"/>
      <w:ind w:left="655" w:right="687"/>
      <w:jc w:val="center"/>
    </w:pPr>
    <w:rPr>
      <w:sz w:val="44"/>
      <w:szCs w:val="44"/>
    </w:rPr>
  </w:style>
  <w:style w:type="paragraph" w:styleId="a5">
    <w:name w:val="List Paragraph"/>
    <w:basedOn w:val="a"/>
    <w:uiPriority w:val="1"/>
    <w:qFormat/>
    <w:pPr>
      <w:spacing w:line="406" w:lineRule="exact"/>
      <w:ind w:left="1360" w:hanging="481"/>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李丹丹</dc:creator>
  <cp:lastModifiedBy>ME</cp:lastModifiedBy>
  <cp:revision>9</cp:revision>
  <dcterms:created xsi:type="dcterms:W3CDTF">2024-08-03T07:17:00Z</dcterms:created>
  <dcterms:modified xsi:type="dcterms:W3CDTF">2024-08-03T07:29:00Z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2019-08-28T00:00:00Z</vt:filetime>
  </property>
  <property fmtid="{D5CDD505-2E9C-101B-9397-08002B2CF9AE}" pid="3" name="Creator">
    <vt:lpwstr>Acrobat PDFMaker 18 Word 版</vt:lpwstr>
  </property>
  <property fmtid="{D5CDD505-2E9C-101B-9397-08002B2CF9AE}" pid="4" name="LastSaved">
    <vt:filetime>2024-08-03T00:00:00Z</vt:filetime>
  </property>
</Properties>
</file>