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9EAD9" w14:textId="00ADD6D6" w:rsidR="0021489E" w:rsidRPr="00416126" w:rsidRDefault="00416126" w:rsidP="00416126">
      <w:pPr>
        <w:pStyle w:val="a3"/>
        <w:ind w:left="0"/>
        <w:jc w:val="center"/>
        <w:rPr>
          <w:rFonts w:ascii="华文中宋" w:eastAsia="华文中宋" w:hAnsi="华文中宋" w:hint="eastAsia"/>
          <w:b/>
          <w:bCs/>
          <w:sz w:val="36"/>
          <w:szCs w:val="56"/>
        </w:rPr>
      </w:pPr>
      <w:r w:rsidRPr="00416126">
        <w:rPr>
          <w:rFonts w:ascii="华文中宋" w:eastAsia="华文中宋" w:hAnsi="华文中宋" w:hint="eastAsia"/>
          <w:b/>
          <w:bCs/>
          <w:sz w:val="36"/>
          <w:szCs w:val="56"/>
        </w:rPr>
        <w:t>药品审评审批信息公开管理办法</w:t>
      </w:r>
    </w:p>
    <w:p w14:paraId="5073489E" w14:textId="77777777" w:rsidR="0021489E" w:rsidRDefault="0021489E">
      <w:pPr>
        <w:pStyle w:val="a3"/>
        <w:ind w:left="0"/>
        <w:rPr>
          <w:rFonts w:ascii="Times New Roman" w:hint="eastAsia"/>
          <w:sz w:val="20"/>
        </w:rPr>
      </w:pPr>
    </w:p>
    <w:p w14:paraId="64D3A904" w14:textId="4C4748BB" w:rsidR="0021489E" w:rsidRPr="00623E4C" w:rsidRDefault="00416126" w:rsidP="00623E4C">
      <w:pPr>
        <w:pStyle w:val="a3"/>
        <w:spacing w:before="1"/>
        <w:ind w:left="0"/>
        <w:jc w:val="center"/>
        <w:rPr>
          <w:rFonts w:asciiTheme="minorEastAsia" w:eastAsiaTheme="minorEastAsia" w:hAnsiTheme="minorEastAsia" w:hint="eastAsia"/>
          <w:b/>
          <w:bCs/>
          <w:sz w:val="36"/>
          <w:szCs w:val="44"/>
        </w:rPr>
      </w:pPr>
      <w:r w:rsidRPr="00416126">
        <w:rPr>
          <w:rFonts w:asciiTheme="minorEastAsia" w:eastAsiaTheme="minorEastAsia" w:hAnsiTheme="minorEastAsia" w:hint="eastAsia"/>
          <w:b/>
          <w:bCs/>
          <w:szCs w:val="40"/>
        </w:rPr>
        <w:t>第一章</w:t>
      </w:r>
      <w:r w:rsidRPr="00416126">
        <w:rPr>
          <w:rFonts w:asciiTheme="minorEastAsia" w:eastAsiaTheme="minorEastAsia" w:hAnsiTheme="minorEastAsia" w:hint="eastAsia"/>
          <w:b/>
          <w:bCs/>
          <w:szCs w:val="40"/>
        </w:rPr>
        <w:t xml:space="preserve">　</w:t>
      </w:r>
      <w:r w:rsidRPr="00416126">
        <w:rPr>
          <w:rFonts w:asciiTheme="minorEastAsia" w:eastAsiaTheme="minorEastAsia" w:hAnsiTheme="minorEastAsia" w:hint="eastAsia"/>
          <w:b/>
          <w:bCs/>
          <w:szCs w:val="40"/>
        </w:rPr>
        <w:t>总　则</w:t>
      </w:r>
    </w:p>
    <w:p w14:paraId="2707EDE0" w14:textId="77777777" w:rsidR="0021489E" w:rsidRDefault="00000000">
      <w:pPr>
        <w:pStyle w:val="a3"/>
        <w:spacing w:before="170" w:line="364" w:lineRule="auto"/>
        <w:ind w:right="278" w:firstLine="710"/>
        <w:rPr>
          <w:rFonts w:hint="eastAsia"/>
        </w:rPr>
      </w:pPr>
      <w:r>
        <w:t>第一条</w:t>
      </w:r>
      <w:r>
        <w:rPr>
          <w:spacing w:val="80"/>
          <w:w w:val="150"/>
        </w:rPr>
        <w:t xml:space="preserve"> </w:t>
      </w:r>
      <w:r>
        <w:t>为提高药品审评审批工作透明度，接受社会</w:t>
      </w:r>
      <w:r>
        <w:rPr>
          <w:spacing w:val="-2"/>
        </w:rPr>
        <w:t>对药品审评审批工作的监督，服务药品注册申请人和公众，引导行业有序研发与理</w:t>
      </w:r>
      <w:r>
        <w:rPr>
          <w:spacing w:val="-28"/>
        </w:rPr>
        <w:t>性申报，根据</w:t>
      </w:r>
      <w:r>
        <w:rPr>
          <w:spacing w:val="-2"/>
        </w:rPr>
        <w:t>《中华人民共和国药品</w:t>
      </w:r>
      <w:r>
        <w:rPr>
          <w:spacing w:val="-41"/>
        </w:rPr>
        <w:t>管理法》</w:t>
      </w:r>
      <w:r>
        <w:t>（</w:t>
      </w:r>
      <w:r>
        <w:rPr>
          <w:rFonts w:ascii="Times New Roman" w:eastAsia="Times New Roman"/>
        </w:rPr>
        <w:t>2019</w:t>
      </w:r>
      <w:r>
        <w:rPr>
          <w:rFonts w:ascii="Times New Roman" w:eastAsia="Times New Roman"/>
          <w:spacing w:val="40"/>
        </w:rPr>
        <w:t xml:space="preserve"> </w:t>
      </w:r>
      <w:r>
        <w:t>年国家主席令第</w:t>
      </w:r>
      <w:r>
        <w:rPr>
          <w:spacing w:val="-10"/>
        </w:rPr>
        <w:t xml:space="preserve"> </w:t>
      </w:r>
      <w:r>
        <w:rPr>
          <w:rFonts w:ascii="Times New Roman" w:eastAsia="Times New Roman"/>
        </w:rPr>
        <w:t>31</w:t>
      </w:r>
      <w:r>
        <w:rPr>
          <w:rFonts w:ascii="Times New Roman" w:eastAsia="Times New Roman"/>
          <w:spacing w:val="40"/>
        </w:rPr>
        <w:t xml:space="preserve"> </w:t>
      </w:r>
      <w:r>
        <w:t>号</w:t>
      </w:r>
      <w:r>
        <w:rPr>
          <w:spacing w:val="-160"/>
        </w:rPr>
        <w:t>）</w:t>
      </w:r>
      <w:r>
        <w:rPr>
          <w:spacing w:val="-80"/>
        </w:rPr>
        <w:t>，《</w:t>
      </w:r>
      <w:r>
        <w:t>中华人民共和国政府信息公开条</w:t>
      </w:r>
      <w:r>
        <w:rPr>
          <w:spacing w:val="-81"/>
        </w:rPr>
        <w:t>例》</w:t>
      </w:r>
      <w:r>
        <w:t>（国务院令第</w:t>
      </w:r>
      <w:r>
        <w:rPr>
          <w:spacing w:val="-10"/>
        </w:rPr>
        <w:t xml:space="preserve"> </w:t>
      </w:r>
      <w:r>
        <w:rPr>
          <w:rFonts w:ascii="Times New Roman" w:eastAsia="Times New Roman"/>
        </w:rPr>
        <w:t xml:space="preserve">711 </w:t>
      </w:r>
      <w:r>
        <w:t>号）和《药品注册管</w:t>
      </w:r>
    </w:p>
    <w:p w14:paraId="763D61AB" w14:textId="77777777" w:rsidR="0021489E" w:rsidRDefault="00000000">
      <w:pPr>
        <w:pStyle w:val="a3"/>
        <w:spacing w:before="4"/>
        <w:rPr>
          <w:rFonts w:hint="eastAsia"/>
        </w:rPr>
      </w:pPr>
      <w:r>
        <w:rPr>
          <w:spacing w:val="-41"/>
          <w:w w:val="95"/>
        </w:rPr>
        <w:t>理办法》</w:t>
      </w:r>
      <w:r>
        <w:rPr>
          <w:w w:val="95"/>
        </w:rPr>
        <w:t>（总局令第</w:t>
      </w:r>
      <w:r>
        <w:rPr>
          <w:spacing w:val="78"/>
        </w:rPr>
        <w:t xml:space="preserve"> </w:t>
      </w:r>
      <w:r>
        <w:rPr>
          <w:rFonts w:ascii="Times New Roman" w:eastAsia="Times New Roman"/>
          <w:w w:val="95"/>
        </w:rPr>
        <w:t>27</w:t>
      </w:r>
      <w:r>
        <w:rPr>
          <w:rFonts w:ascii="Times New Roman" w:eastAsia="Times New Roman"/>
          <w:spacing w:val="36"/>
        </w:rPr>
        <w:t xml:space="preserve">  </w:t>
      </w:r>
      <w:r>
        <w:rPr>
          <w:w w:val="95"/>
        </w:rPr>
        <w:t>号）等相关规定，制定本办</w:t>
      </w:r>
      <w:r>
        <w:rPr>
          <w:spacing w:val="-5"/>
          <w:w w:val="95"/>
        </w:rPr>
        <w:t>法。</w:t>
      </w:r>
    </w:p>
    <w:p w14:paraId="2BD8DF46" w14:textId="77777777" w:rsidR="0021489E" w:rsidRDefault="00000000">
      <w:pPr>
        <w:pStyle w:val="a3"/>
        <w:spacing w:before="215" w:line="364" w:lineRule="auto"/>
        <w:ind w:right="441" w:firstLine="710"/>
        <w:jc w:val="both"/>
        <w:rPr>
          <w:rFonts w:hint="eastAsia"/>
        </w:rPr>
      </w:pPr>
      <w:r>
        <w:t>第二条 国家药品监督管理局药品审评中心（以下简</w:t>
      </w:r>
      <w:r>
        <w:rPr>
          <w:spacing w:val="-2"/>
        </w:rPr>
        <w:t>称药审中心</w:t>
      </w:r>
      <w:r>
        <w:rPr>
          <w:spacing w:val="-80"/>
        </w:rPr>
        <w:t>）</w:t>
      </w:r>
      <w:r>
        <w:rPr>
          <w:spacing w:val="-2"/>
        </w:rPr>
        <w:t>向社会公开的药品审评审批相关信</w:t>
      </w:r>
      <w:r>
        <w:rPr>
          <w:spacing w:val="-40"/>
        </w:rPr>
        <w:t>息，</w:t>
      </w:r>
      <w:r>
        <w:rPr>
          <w:spacing w:val="-2"/>
        </w:rPr>
        <w:t>应当遵守本办法。</w:t>
      </w:r>
    </w:p>
    <w:p w14:paraId="39FA478A" w14:textId="77777777" w:rsidR="0021489E" w:rsidRDefault="00000000">
      <w:pPr>
        <w:pStyle w:val="a3"/>
        <w:spacing w:before="2" w:line="364" w:lineRule="auto"/>
        <w:ind w:right="438" w:firstLine="710"/>
        <w:jc w:val="both"/>
        <w:rPr>
          <w:rFonts w:hint="eastAsia"/>
        </w:rPr>
      </w:pPr>
      <w:r>
        <w:t>第三条 本办法所</w:t>
      </w:r>
      <w:r>
        <w:rPr>
          <w:spacing w:val="10"/>
        </w:rPr>
        <w:t>称</w:t>
      </w:r>
      <w:r>
        <w:t>药品审评审批信息，是指药审中</w:t>
      </w:r>
      <w:r>
        <w:rPr>
          <w:spacing w:val="-2"/>
        </w:rPr>
        <w:t>心承担的审评审批和注册管理工作过程中产生的</w:t>
      </w:r>
      <w:r>
        <w:rPr>
          <w:spacing w:val="-34"/>
        </w:rPr>
        <w:t>信息。本办</w:t>
      </w:r>
      <w:r>
        <w:rPr>
          <w:spacing w:val="-2"/>
        </w:rPr>
        <w:t>法所称信息公</w:t>
      </w:r>
      <w:r>
        <w:rPr>
          <w:spacing w:val="-54"/>
        </w:rPr>
        <w:t>开，是</w:t>
      </w:r>
      <w:r>
        <w:rPr>
          <w:spacing w:val="-2"/>
        </w:rPr>
        <w:t>指药审中心主动向社会公开的药品审评审批相关信息。</w:t>
      </w:r>
    </w:p>
    <w:p w14:paraId="51973B12" w14:textId="77777777" w:rsidR="0021489E" w:rsidRDefault="00000000">
      <w:pPr>
        <w:pStyle w:val="a3"/>
        <w:spacing w:before="4" w:line="364" w:lineRule="auto"/>
        <w:ind w:right="279" w:firstLine="710"/>
        <w:rPr>
          <w:rFonts w:hint="eastAsia"/>
        </w:rPr>
      </w:pPr>
      <w:r>
        <w:t>第四条</w:t>
      </w:r>
      <w:r>
        <w:rPr>
          <w:spacing w:val="20"/>
        </w:rPr>
        <w:t xml:space="preserve"> 药</w:t>
      </w:r>
      <w:r>
        <w:t>品审评审批信息公开应当遵循公正、公平、</w:t>
      </w:r>
      <w:r>
        <w:rPr>
          <w:spacing w:val="-2"/>
        </w:rPr>
        <w:t>合法、准确、便民的原则，以及保守国家秘密、商业秘密和技术秘密，保护个人隐私。</w:t>
      </w:r>
    </w:p>
    <w:p w14:paraId="1A1771C9" w14:textId="75539C40" w:rsidR="0021489E" w:rsidRDefault="00000000" w:rsidP="00623E4C">
      <w:pPr>
        <w:pStyle w:val="a3"/>
        <w:spacing w:before="2" w:line="364" w:lineRule="auto"/>
        <w:ind w:right="437" w:firstLine="710"/>
        <w:rPr>
          <w:rFonts w:hint="eastAsia"/>
        </w:rPr>
      </w:pPr>
      <w:r>
        <w:t>第五条</w:t>
      </w:r>
      <w:r>
        <w:rPr>
          <w:spacing w:val="20"/>
        </w:rPr>
        <w:t xml:space="preserve"> 药</w:t>
      </w:r>
      <w:r>
        <w:t>审中心在国家药品监督</w:t>
      </w:r>
      <w:r>
        <w:rPr>
          <w:spacing w:val="3"/>
        </w:rPr>
        <w:t>管理局</w:t>
      </w:r>
      <w:r>
        <w:t>（以下简称</w:t>
      </w:r>
      <w:r>
        <w:rPr>
          <w:w w:val="95"/>
        </w:rPr>
        <w:t>国家药监局</w:t>
      </w:r>
      <w:r>
        <w:rPr>
          <w:spacing w:val="-79"/>
          <w:w w:val="95"/>
        </w:rPr>
        <w:t>）</w:t>
      </w:r>
      <w:r>
        <w:rPr>
          <w:w w:val="95"/>
        </w:rPr>
        <w:t>的领导下开展药品审评审批信息公</w:t>
      </w:r>
      <w:r>
        <w:rPr>
          <w:spacing w:val="-18"/>
          <w:w w:val="95"/>
        </w:rPr>
        <w:t>开工作，制</w:t>
      </w:r>
      <w:r>
        <w:rPr>
          <w:spacing w:val="-2"/>
        </w:rPr>
        <w:t>定信息公开目录并及时</w:t>
      </w:r>
      <w:r>
        <w:rPr>
          <w:spacing w:val="-29"/>
        </w:rPr>
        <w:t>更新，通过门</w:t>
      </w:r>
      <w:r>
        <w:rPr>
          <w:spacing w:val="-2"/>
        </w:rPr>
        <w:t>户网站公开药品审评审批相关信息。</w:t>
      </w:r>
    </w:p>
    <w:p w14:paraId="1074DC5A" w14:textId="77777777" w:rsidR="0021489E" w:rsidRDefault="00000000">
      <w:pPr>
        <w:pStyle w:val="a3"/>
        <w:spacing w:before="1" w:line="364" w:lineRule="auto"/>
        <w:ind w:right="441" w:firstLine="710"/>
        <w:rPr>
          <w:rFonts w:hint="eastAsia"/>
        </w:rPr>
      </w:pPr>
      <w:r>
        <w:lastRenderedPageBreak/>
        <w:t>第六条</w:t>
      </w:r>
      <w:r>
        <w:rPr>
          <w:spacing w:val="20"/>
        </w:rPr>
        <w:t xml:space="preserve"> 药</w:t>
      </w:r>
      <w:r>
        <w:t>审中心根据有关法律法规及规定的要求，</w:t>
      </w:r>
      <w:r>
        <w:rPr>
          <w:spacing w:val="-2"/>
        </w:rPr>
        <w:t>对拟公开的药品审评审批信息进行保密审查。</w:t>
      </w:r>
    </w:p>
    <w:p w14:paraId="6E36223D" w14:textId="3AEC4122" w:rsidR="0021489E" w:rsidRDefault="00000000">
      <w:pPr>
        <w:pStyle w:val="a3"/>
        <w:spacing w:before="2" w:line="364" w:lineRule="auto"/>
        <w:ind w:right="278" w:firstLine="710"/>
        <w:rPr>
          <w:rFonts w:hint="eastAsia"/>
        </w:rPr>
      </w:pPr>
      <w:r>
        <w:t>第七条</w:t>
      </w:r>
      <w:r>
        <w:rPr>
          <w:spacing w:val="80"/>
          <w:w w:val="150"/>
        </w:rPr>
        <w:t xml:space="preserve"> </w:t>
      </w:r>
      <w:r>
        <w:t>药品注册申请人应当配合完成审评审批信息</w:t>
      </w:r>
      <w:r>
        <w:rPr>
          <w:spacing w:val="-2"/>
        </w:rPr>
        <w:t>公开工作，在技术审评报告公开前核对是否存在保密信息，并在收到核对要求之日</w:t>
      </w:r>
      <w:r>
        <w:rPr>
          <w:spacing w:val="-29"/>
        </w:rPr>
        <w:t>起，按照技术</w:t>
      </w:r>
      <w:r>
        <w:rPr>
          <w:spacing w:val="-2"/>
        </w:rPr>
        <w:t>审评报告公开相关管理规范进行核对，将核对结果回复药审中心。</w:t>
      </w:r>
    </w:p>
    <w:p w14:paraId="1638A8A4" w14:textId="2417AA48" w:rsidR="0021489E" w:rsidRDefault="00416126" w:rsidP="00416126">
      <w:pPr>
        <w:pStyle w:val="a3"/>
        <w:spacing w:before="1"/>
        <w:ind w:left="0"/>
        <w:jc w:val="center"/>
        <w:rPr>
          <w:rFonts w:hint="eastAsia"/>
          <w:sz w:val="24"/>
        </w:rPr>
      </w:pPr>
      <w:r w:rsidRPr="00416126">
        <w:rPr>
          <w:rFonts w:asciiTheme="minorEastAsia" w:eastAsiaTheme="minorEastAsia" w:hAnsiTheme="minorEastAsia" w:hint="eastAsia"/>
          <w:b/>
          <w:bCs/>
          <w:szCs w:val="40"/>
        </w:rPr>
        <w:t>第</w:t>
      </w:r>
      <w:r>
        <w:rPr>
          <w:rFonts w:asciiTheme="minorEastAsia" w:eastAsiaTheme="minorEastAsia" w:hAnsiTheme="minorEastAsia" w:hint="eastAsia"/>
          <w:b/>
          <w:bCs/>
          <w:szCs w:val="40"/>
        </w:rPr>
        <w:t>二</w:t>
      </w:r>
      <w:r w:rsidRPr="00416126">
        <w:rPr>
          <w:rFonts w:asciiTheme="minorEastAsia" w:eastAsiaTheme="minorEastAsia" w:hAnsiTheme="minorEastAsia" w:hint="eastAsia"/>
          <w:b/>
          <w:bCs/>
          <w:szCs w:val="40"/>
        </w:rPr>
        <w:t xml:space="preserve">章　</w:t>
      </w:r>
      <w:r>
        <w:rPr>
          <w:rFonts w:asciiTheme="minorEastAsia" w:eastAsiaTheme="minorEastAsia" w:hAnsiTheme="minorEastAsia" w:hint="eastAsia"/>
          <w:b/>
          <w:bCs/>
          <w:szCs w:val="40"/>
        </w:rPr>
        <w:t>受理信息公开</w:t>
      </w:r>
    </w:p>
    <w:p w14:paraId="16AA68C2" w14:textId="77777777" w:rsidR="0021489E" w:rsidRDefault="00000000">
      <w:pPr>
        <w:pStyle w:val="a3"/>
        <w:spacing w:line="364" w:lineRule="auto"/>
        <w:ind w:right="117" w:firstLine="710"/>
        <w:rPr>
          <w:rFonts w:hint="eastAsia"/>
        </w:rPr>
      </w:pPr>
      <w:r>
        <w:t>第八条</w:t>
      </w:r>
      <w:r>
        <w:rPr>
          <w:spacing w:val="40"/>
        </w:rPr>
        <w:t xml:space="preserve"> 药</w:t>
      </w:r>
      <w:r>
        <w:t>审中心受理药品注册申请后</w:t>
      </w:r>
      <w:r>
        <w:rPr>
          <w:spacing w:val="-95"/>
        </w:rPr>
        <w:t xml:space="preserve"> 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20"/>
        </w:rPr>
        <w:t xml:space="preserve"> </w:t>
      </w:r>
      <w:r>
        <w:t>个工作日内，</w:t>
      </w:r>
      <w:r>
        <w:rPr>
          <w:spacing w:val="-2"/>
        </w:rPr>
        <w:t>公开注册申请品种的受</w:t>
      </w:r>
      <w:r>
        <w:rPr>
          <w:spacing w:val="-16"/>
        </w:rPr>
        <w:t>理号、药品名称、药品类型、申</w:t>
      </w:r>
      <w:r>
        <w:rPr>
          <w:spacing w:val="-2"/>
        </w:rPr>
        <w:t>请类 型、注册分类、企业名称、承办日期等信息。</w:t>
      </w:r>
    </w:p>
    <w:p w14:paraId="22819167" w14:textId="30B1CB5C" w:rsidR="0021489E" w:rsidRDefault="00000000">
      <w:pPr>
        <w:pStyle w:val="a3"/>
        <w:spacing w:before="3" w:line="364" w:lineRule="auto"/>
        <w:ind w:right="441" w:firstLine="710"/>
        <w:rPr>
          <w:rFonts w:hint="eastAsia"/>
        </w:rPr>
      </w:pPr>
      <w:r>
        <w:t>第九条</w:t>
      </w:r>
      <w:r>
        <w:rPr>
          <w:spacing w:val="20"/>
        </w:rPr>
        <w:t xml:space="preserve"> 药</w:t>
      </w:r>
      <w:r>
        <w:t>审中心应当每年对药品注册申报质量进行</w:t>
      </w:r>
      <w:r>
        <w:rPr>
          <w:spacing w:val="-2"/>
        </w:rPr>
        <w:t>分析，总结已发现的申报质量共性问题，并予以公开。</w:t>
      </w:r>
    </w:p>
    <w:p w14:paraId="110D2C6D" w14:textId="28571AF4" w:rsidR="0021489E" w:rsidRDefault="00A10D34" w:rsidP="00A10D34">
      <w:pPr>
        <w:pStyle w:val="a3"/>
        <w:spacing w:before="10"/>
        <w:ind w:left="0"/>
        <w:jc w:val="center"/>
        <w:rPr>
          <w:rFonts w:hint="eastAsia"/>
          <w:sz w:val="23"/>
        </w:rPr>
      </w:pPr>
      <w:r w:rsidRPr="00416126">
        <w:rPr>
          <w:rFonts w:asciiTheme="minorEastAsia" w:eastAsiaTheme="minorEastAsia" w:hAnsiTheme="minorEastAsia" w:hint="eastAsia"/>
          <w:b/>
          <w:bCs/>
          <w:szCs w:val="40"/>
        </w:rPr>
        <w:t>第</w:t>
      </w:r>
      <w:r>
        <w:rPr>
          <w:rFonts w:asciiTheme="minorEastAsia" w:eastAsiaTheme="minorEastAsia" w:hAnsiTheme="minorEastAsia" w:hint="eastAsia"/>
          <w:b/>
          <w:bCs/>
          <w:szCs w:val="40"/>
        </w:rPr>
        <w:t>三</w:t>
      </w:r>
      <w:r w:rsidRPr="00416126">
        <w:rPr>
          <w:rFonts w:asciiTheme="minorEastAsia" w:eastAsiaTheme="minorEastAsia" w:hAnsiTheme="minorEastAsia" w:hint="eastAsia"/>
          <w:b/>
          <w:bCs/>
          <w:szCs w:val="40"/>
        </w:rPr>
        <w:t xml:space="preserve">章　</w:t>
      </w:r>
      <w:r>
        <w:rPr>
          <w:rFonts w:asciiTheme="minorEastAsia" w:eastAsiaTheme="minorEastAsia" w:hAnsiTheme="minorEastAsia" w:hint="eastAsia"/>
          <w:b/>
          <w:bCs/>
          <w:szCs w:val="40"/>
        </w:rPr>
        <w:t>审评审批过程信息公开</w:t>
      </w:r>
    </w:p>
    <w:p w14:paraId="416E0AB1" w14:textId="77777777" w:rsidR="0021489E" w:rsidRDefault="00000000">
      <w:pPr>
        <w:pStyle w:val="a3"/>
        <w:spacing w:line="364" w:lineRule="auto"/>
        <w:ind w:right="441" w:firstLine="710"/>
        <w:rPr>
          <w:rFonts w:hint="eastAsia"/>
        </w:rPr>
      </w:pPr>
      <w:r>
        <w:t>第十条</w:t>
      </w:r>
      <w:r>
        <w:rPr>
          <w:spacing w:val="20"/>
        </w:rPr>
        <w:t xml:space="preserve"> 药</w:t>
      </w:r>
      <w:r>
        <w:t>审中心应当按照药品注册申请类型，公开</w:t>
      </w:r>
      <w:r>
        <w:rPr>
          <w:spacing w:val="-2"/>
        </w:rPr>
        <w:t>审评时限。</w:t>
      </w:r>
    </w:p>
    <w:p w14:paraId="359D11E0" w14:textId="77777777" w:rsidR="0021489E" w:rsidRDefault="00000000">
      <w:pPr>
        <w:pStyle w:val="a3"/>
        <w:spacing w:before="2" w:line="364" w:lineRule="auto"/>
        <w:ind w:right="434" w:firstLine="710"/>
        <w:rPr>
          <w:rFonts w:hint="eastAsia"/>
        </w:rPr>
      </w:pPr>
      <w:r>
        <w:t>第十一条</w:t>
      </w:r>
      <w:r>
        <w:rPr>
          <w:spacing w:val="111"/>
        </w:rPr>
        <w:t xml:space="preserve"> 药</w:t>
      </w:r>
      <w:r>
        <w:t>审中心应当按照审评工作实际，公开审</w:t>
      </w:r>
      <w:r>
        <w:rPr>
          <w:spacing w:val="-2"/>
        </w:rPr>
        <w:t>评审批和沟通交流工作程序。</w:t>
      </w:r>
    </w:p>
    <w:p w14:paraId="65C39597" w14:textId="77777777" w:rsidR="0021489E" w:rsidRDefault="00000000">
      <w:pPr>
        <w:pStyle w:val="a3"/>
        <w:spacing w:before="2" w:line="364" w:lineRule="auto"/>
        <w:ind w:right="434" w:firstLine="710"/>
        <w:rPr>
          <w:rFonts w:hint="eastAsia"/>
        </w:rPr>
      </w:pPr>
      <w:r>
        <w:t>第十二条</w:t>
      </w:r>
      <w:r>
        <w:rPr>
          <w:spacing w:val="111"/>
        </w:rPr>
        <w:t xml:space="preserve"> 药</w:t>
      </w:r>
      <w:r>
        <w:t>审中心应当公开内设办事机构，以及相</w:t>
      </w:r>
      <w:r>
        <w:rPr>
          <w:spacing w:val="-2"/>
        </w:rPr>
        <w:t>关联系方式。</w:t>
      </w:r>
    </w:p>
    <w:p w14:paraId="37D03594" w14:textId="3EB46256" w:rsidR="0021489E" w:rsidRDefault="00000000" w:rsidP="00623E4C">
      <w:pPr>
        <w:pStyle w:val="a3"/>
        <w:spacing w:before="2"/>
        <w:ind w:left="972"/>
        <w:rPr>
          <w:rFonts w:hint="eastAsia"/>
        </w:rPr>
      </w:pPr>
      <w:r>
        <w:t>第十三条</w:t>
      </w:r>
      <w:r>
        <w:rPr>
          <w:spacing w:val="98"/>
        </w:rPr>
        <w:t xml:space="preserve"> 药</w:t>
      </w:r>
      <w:r>
        <w:t>审中心对于受理后进行审评的品种公</w:t>
      </w:r>
      <w:r>
        <w:rPr>
          <w:spacing w:val="-10"/>
        </w:rPr>
        <w:t>开</w:t>
      </w:r>
      <w:r>
        <w:rPr>
          <w:w w:val="95"/>
        </w:rPr>
        <w:t>审评序列、各专业审评状态和沟通交流状态信息</w:t>
      </w:r>
      <w:r>
        <w:rPr>
          <w:spacing w:val="-10"/>
          <w:w w:val="95"/>
        </w:rPr>
        <w:t>。</w:t>
      </w:r>
    </w:p>
    <w:p w14:paraId="49A442AF" w14:textId="77777777" w:rsidR="0021489E" w:rsidRDefault="00000000">
      <w:pPr>
        <w:pStyle w:val="a3"/>
        <w:spacing w:before="213" w:line="364" w:lineRule="auto"/>
        <w:ind w:right="434" w:firstLine="710"/>
        <w:jc w:val="both"/>
        <w:rPr>
          <w:rFonts w:hint="eastAsia"/>
        </w:rPr>
      </w:pPr>
      <w:r>
        <w:rPr>
          <w:w w:val="99"/>
        </w:rPr>
        <w:t>第十四条</w:t>
      </w:r>
      <w:r>
        <w:rPr>
          <w:spacing w:val="34"/>
        </w:rPr>
        <w:t xml:space="preserve">  </w:t>
      </w:r>
      <w:r>
        <w:rPr>
          <w:spacing w:val="2"/>
          <w:w w:val="99"/>
        </w:rPr>
        <w:t>对实施优先审评程序和突破性治疗程序的</w:t>
      </w:r>
      <w:r>
        <w:rPr>
          <w:spacing w:val="-12"/>
          <w:w w:val="99"/>
        </w:rPr>
        <w:t>药品，药审中心应当公开拟纳入品种情况、纳入品种情况及</w:t>
      </w:r>
      <w:r>
        <w:rPr>
          <w:w w:val="99"/>
        </w:rPr>
        <w:lastRenderedPageBreak/>
        <w:t>依据，接受社会监督。</w:t>
      </w:r>
    </w:p>
    <w:p w14:paraId="3D9F1E33" w14:textId="7A11D5EF" w:rsidR="0021489E" w:rsidRDefault="00000000">
      <w:pPr>
        <w:pStyle w:val="a3"/>
        <w:spacing w:before="3" w:line="364" w:lineRule="auto"/>
        <w:ind w:right="434" w:firstLine="710"/>
        <w:jc w:val="both"/>
        <w:rPr>
          <w:rFonts w:hint="eastAsia"/>
        </w:rPr>
      </w:pPr>
      <w:r>
        <w:rPr>
          <w:w w:val="99"/>
        </w:rPr>
        <w:t>第十五条</w:t>
      </w:r>
      <w:r>
        <w:rPr>
          <w:spacing w:val="34"/>
        </w:rPr>
        <w:t xml:space="preserve">  </w:t>
      </w:r>
      <w:r>
        <w:rPr>
          <w:spacing w:val="2"/>
          <w:w w:val="99"/>
        </w:rPr>
        <w:t>药审中心每年按程序在网站公开经国家药</w:t>
      </w:r>
      <w:r>
        <w:rPr>
          <w:spacing w:val="-11"/>
          <w:w w:val="99"/>
        </w:rPr>
        <w:t>监局审核通过的指导原则，指导企业研发。在审评过程中遇</w:t>
      </w:r>
      <w:r>
        <w:rPr>
          <w:spacing w:val="-9"/>
          <w:w w:val="99"/>
        </w:rPr>
        <w:t>到药品安全性问题或技术评价标准不明确、指导原则未规定</w:t>
      </w:r>
      <w:r>
        <w:rPr>
          <w:spacing w:val="-12"/>
          <w:w w:val="99"/>
        </w:rPr>
        <w:t>的共性问题、疑难问题时，药审中心应当及时梳理分析，形</w:t>
      </w:r>
      <w:r>
        <w:rPr>
          <w:w w:val="99"/>
        </w:rPr>
        <w:t>成共性问题或指导原则并予以公开。</w:t>
      </w:r>
    </w:p>
    <w:p w14:paraId="364FFE9C" w14:textId="194927D7" w:rsidR="0021489E" w:rsidRPr="001A5ED5" w:rsidRDefault="00CD396D" w:rsidP="001A5ED5">
      <w:pPr>
        <w:pStyle w:val="a3"/>
        <w:spacing w:before="10"/>
        <w:ind w:left="0"/>
        <w:jc w:val="center"/>
        <w:rPr>
          <w:rFonts w:hint="eastAsia"/>
          <w:sz w:val="24"/>
          <w:szCs w:val="36"/>
        </w:rPr>
      </w:pP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第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四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章　审评审批</w:t>
      </w:r>
      <w:r w:rsidR="00B05EB4"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结果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信息公开</w:t>
      </w:r>
    </w:p>
    <w:p w14:paraId="35E77C17" w14:textId="77777777" w:rsidR="0021489E" w:rsidRDefault="00000000">
      <w:pPr>
        <w:pStyle w:val="a3"/>
        <w:spacing w:before="1" w:line="364" w:lineRule="auto"/>
        <w:ind w:right="434" w:firstLine="710"/>
        <w:jc w:val="both"/>
        <w:rPr>
          <w:rFonts w:hint="eastAsia"/>
        </w:rPr>
      </w:pPr>
      <w:r>
        <w:t>第十六条 经默示许可进行临床试验的，药审中心应当在默示许可后</w:t>
      </w:r>
      <w:r>
        <w:rPr>
          <w:spacing w:val="-14"/>
        </w:rPr>
        <w:t xml:space="preserve"> 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40"/>
        </w:rPr>
        <w:t xml:space="preserve"> </w:t>
      </w:r>
      <w:r>
        <w:t>个工作日内公开临床试验的基本信息，</w:t>
      </w:r>
      <w:r>
        <w:rPr>
          <w:spacing w:val="-2"/>
        </w:rPr>
        <w:t>包括受理号、申请人、药品名称、注册分类、适应症等。</w:t>
      </w:r>
    </w:p>
    <w:p w14:paraId="0C905AE5" w14:textId="77777777" w:rsidR="0021489E" w:rsidRDefault="00000000">
      <w:pPr>
        <w:pStyle w:val="a3"/>
        <w:spacing w:before="2" w:line="364" w:lineRule="auto"/>
        <w:ind w:right="434" w:firstLine="710"/>
        <w:jc w:val="both"/>
        <w:rPr>
          <w:rFonts w:hint="eastAsia"/>
        </w:rPr>
      </w:pPr>
      <w:r>
        <w:rPr>
          <w:w w:val="99"/>
        </w:rPr>
        <w:t>第十七条</w:t>
      </w:r>
      <w:r>
        <w:rPr>
          <w:spacing w:val="34"/>
        </w:rPr>
        <w:t xml:space="preserve">  </w:t>
      </w:r>
      <w:r>
        <w:rPr>
          <w:spacing w:val="2"/>
          <w:w w:val="99"/>
        </w:rPr>
        <w:t>药审中心对于批准上市许可的药品，应当</w:t>
      </w:r>
      <w:r>
        <w:rPr>
          <w:spacing w:val="-8"/>
          <w:w w:val="99"/>
        </w:rPr>
        <w:t>在国家药监局作出审批决定且经申请人核对后，公开技术审</w:t>
      </w:r>
      <w:r>
        <w:rPr>
          <w:w w:val="99"/>
        </w:rPr>
        <w:t>评报告，以及药品说明书。</w:t>
      </w:r>
    </w:p>
    <w:p w14:paraId="18FBC32F" w14:textId="77777777" w:rsidR="0021489E" w:rsidRDefault="00000000">
      <w:pPr>
        <w:pStyle w:val="a3"/>
        <w:spacing w:before="3" w:line="364" w:lineRule="auto"/>
        <w:ind w:right="278" w:firstLine="710"/>
        <w:rPr>
          <w:rFonts w:hint="eastAsia"/>
        </w:rPr>
      </w:pPr>
      <w:r>
        <w:t>第十八条</w:t>
      </w:r>
      <w:r>
        <w:rPr>
          <w:spacing w:val="114"/>
        </w:rPr>
        <w:t xml:space="preserve"> 药</w:t>
      </w:r>
      <w:r>
        <w:t>审中心应当通过原料药、药用辅料和药</w:t>
      </w:r>
      <w:r>
        <w:rPr>
          <w:spacing w:val="-2"/>
        </w:rPr>
        <w:t>包材登记信息公示平台，公开原辅包品种名称、企业名称、规格、登记状态等信息。</w:t>
      </w:r>
    </w:p>
    <w:p w14:paraId="3386B6CE" w14:textId="626159BA" w:rsidR="0021489E" w:rsidRDefault="00000000" w:rsidP="00623E4C">
      <w:pPr>
        <w:pStyle w:val="a3"/>
        <w:spacing w:before="2" w:line="364" w:lineRule="auto"/>
        <w:ind w:right="434" w:firstLine="710"/>
        <w:jc w:val="both"/>
        <w:rPr>
          <w:rFonts w:hint="eastAsia"/>
        </w:rPr>
      </w:pPr>
      <w:r>
        <w:rPr>
          <w:w w:val="99"/>
        </w:rPr>
        <w:t>第十九条</w:t>
      </w:r>
      <w:r>
        <w:rPr>
          <w:spacing w:val="34"/>
        </w:rPr>
        <w:t xml:space="preserve">  </w:t>
      </w:r>
      <w:r>
        <w:rPr>
          <w:spacing w:val="2"/>
          <w:w w:val="99"/>
        </w:rPr>
        <w:t>药审中心对于新批准上市以及通过仿制药</w:t>
      </w:r>
      <w:r>
        <w:rPr>
          <w:spacing w:val="-10"/>
          <w:w w:val="99"/>
        </w:rPr>
        <w:t>质量和疗效一致性评价的化学药品，应当通过上市药品目录</w:t>
      </w:r>
      <w:r>
        <w:rPr>
          <w:spacing w:val="6"/>
          <w:w w:val="99"/>
        </w:rPr>
        <w:t>集平台和仿制药质量和疗效一致性评价专栏公开新批准上</w:t>
      </w:r>
      <w:r>
        <w:rPr>
          <w:spacing w:val="-2"/>
        </w:rPr>
        <w:t>市的药品信息和通过仿制药质量和疗效一致性评价的药品</w:t>
      </w:r>
      <w:r>
        <w:rPr>
          <w:spacing w:val="-4"/>
        </w:rPr>
        <w:t>信息。</w:t>
      </w:r>
    </w:p>
    <w:p w14:paraId="26794AB1" w14:textId="292D5CA1" w:rsidR="0021489E" w:rsidRPr="00623E4C" w:rsidRDefault="007B4D6C" w:rsidP="00623E4C">
      <w:pPr>
        <w:pStyle w:val="a3"/>
        <w:spacing w:before="10"/>
        <w:ind w:left="0"/>
        <w:jc w:val="center"/>
        <w:rPr>
          <w:rFonts w:hint="eastAsia"/>
          <w:sz w:val="24"/>
          <w:szCs w:val="36"/>
        </w:rPr>
      </w:pP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第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五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 xml:space="preserve">章　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其他审评审批信息公开</w:t>
      </w:r>
    </w:p>
    <w:p w14:paraId="163328BE" w14:textId="77777777" w:rsidR="0021489E" w:rsidRDefault="00000000">
      <w:pPr>
        <w:pStyle w:val="a3"/>
        <w:spacing w:before="1" w:line="364" w:lineRule="auto"/>
        <w:ind w:right="434" w:firstLine="710"/>
        <w:jc w:val="both"/>
        <w:rPr>
          <w:rFonts w:hint="eastAsia"/>
        </w:rPr>
      </w:pPr>
      <w:r>
        <w:rPr>
          <w:w w:val="99"/>
        </w:rPr>
        <w:t>第二十条</w:t>
      </w:r>
      <w:r>
        <w:rPr>
          <w:spacing w:val="34"/>
        </w:rPr>
        <w:t xml:space="preserve">  </w:t>
      </w:r>
      <w:r>
        <w:rPr>
          <w:spacing w:val="2"/>
          <w:w w:val="99"/>
        </w:rPr>
        <w:t>药审中心应当及时整理和公开申请人反馈</w:t>
      </w:r>
      <w:r>
        <w:rPr>
          <w:spacing w:val="-9"/>
          <w:w w:val="99"/>
        </w:rPr>
        <w:lastRenderedPageBreak/>
        <w:t>的以及审评过程中汇总的共性问题，解决申请人疑惑，统一</w:t>
      </w:r>
      <w:r>
        <w:rPr>
          <w:w w:val="99"/>
        </w:rPr>
        <w:t>审评共性问题的处理尺度。</w:t>
      </w:r>
    </w:p>
    <w:p w14:paraId="43AEBC97" w14:textId="77777777" w:rsidR="0021489E" w:rsidRDefault="00000000">
      <w:pPr>
        <w:pStyle w:val="a3"/>
        <w:spacing w:before="3" w:line="364" w:lineRule="auto"/>
        <w:ind w:right="279" w:firstLine="710"/>
        <w:jc w:val="both"/>
        <w:rPr>
          <w:rFonts w:hint="eastAsia"/>
        </w:rPr>
      </w:pPr>
      <w:r>
        <w:t>第二十</w:t>
      </w:r>
      <w:r>
        <w:rPr>
          <w:spacing w:val="81"/>
        </w:rPr>
        <w:t>一条 药</w:t>
      </w:r>
      <w:r>
        <w:t>审中心应当公开办事指南相关信息，</w:t>
      </w:r>
      <w:r>
        <w:rPr>
          <w:spacing w:val="-2"/>
        </w:rPr>
        <w:t>指导申请人办理审评审批相关工作。</w:t>
      </w:r>
    </w:p>
    <w:p w14:paraId="2185D635" w14:textId="77777777" w:rsidR="0021489E" w:rsidRDefault="00000000">
      <w:pPr>
        <w:pStyle w:val="a3"/>
        <w:spacing w:before="1" w:line="364" w:lineRule="auto"/>
        <w:ind w:right="438" w:firstLine="710"/>
        <w:jc w:val="both"/>
        <w:rPr>
          <w:rFonts w:hint="eastAsia"/>
        </w:rPr>
      </w:pPr>
      <w:r>
        <w:t>第二十</w:t>
      </w:r>
      <w:r>
        <w:rPr>
          <w:spacing w:val="9"/>
        </w:rPr>
        <w:t>二条 药审</w:t>
      </w:r>
      <w:r>
        <w:rPr>
          <w:spacing w:val="16"/>
        </w:rPr>
        <w:t>中心应当公开</w:t>
      </w:r>
      <w:r>
        <w:rPr>
          <w:spacing w:val="18"/>
        </w:rPr>
        <w:t>药</w:t>
      </w:r>
      <w:r>
        <w:rPr>
          <w:spacing w:val="16"/>
        </w:rPr>
        <w:t>物临床试验</w:t>
      </w:r>
      <w:r>
        <w:rPr>
          <w:spacing w:val="9"/>
        </w:rPr>
        <w:t>登记</w:t>
      </w:r>
      <w:r>
        <w:rPr>
          <w:spacing w:val="-10"/>
        </w:rPr>
        <w:t>的信息，包括试验</w:t>
      </w:r>
      <w:r>
        <w:rPr>
          <w:spacing w:val="-2"/>
        </w:rPr>
        <w:t>药物基本信息</w:t>
      </w:r>
      <w:r>
        <w:rPr>
          <w:spacing w:val="-19"/>
        </w:rPr>
        <w:t>、申请</w:t>
      </w:r>
      <w:r>
        <w:rPr>
          <w:spacing w:val="-2"/>
        </w:rPr>
        <w:t>人信</w:t>
      </w:r>
      <w:r>
        <w:rPr>
          <w:spacing w:val="-16"/>
        </w:rPr>
        <w:t>息、临床</w:t>
      </w:r>
      <w:r>
        <w:rPr>
          <w:spacing w:val="-2"/>
        </w:rPr>
        <w:t>试验方案基本</w:t>
      </w:r>
      <w:r>
        <w:rPr>
          <w:spacing w:val="-13"/>
        </w:rPr>
        <w:t>信息、主要</w:t>
      </w:r>
      <w:r>
        <w:rPr>
          <w:spacing w:val="-2"/>
        </w:rPr>
        <w:t>研究</w:t>
      </w:r>
      <w:r>
        <w:rPr>
          <w:spacing w:val="-13"/>
        </w:rPr>
        <w:t>者信息、各</w:t>
      </w:r>
      <w:r>
        <w:rPr>
          <w:spacing w:val="-2"/>
        </w:rPr>
        <w:t>参与机构信息</w:t>
      </w:r>
      <w:r>
        <w:rPr>
          <w:spacing w:val="-13"/>
        </w:rPr>
        <w:t>、伦理委员</w:t>
      </w:r>
      <w:r>
        <w:rPr>
          <w:spacing w:val="-2"/>
        </w:rPr>
        <w:t>会信息、试验状态信息等。</w:t>
      </w:r>
    </w:p>
    <w:p w14:paraId="26777191" w14:textId="7228C366" w:rsidR="0021489E" w:rsidRDefault="00000000">
      <w:pPr>
        <w:pStyle w:val="a3"/>
        <w:tabs>
          <w:tab w:val="left" w:pos="3060"/>
        </w:tabs>
        <w:spacing w:before="4" w:line="364" w:lineRule="auto"/>
        <w:ind w:right="278" w:firstLine="710"/>
        <w:rPr>
          <w:rFonts w:hint="eastAsia"/>
        </w:rPr>
      </w:pPr>
      <w:r>
        <w:rPr>
          <w:spacing w:val="-4"/>
        </w:rPr>
        <w:t>第二十三条</w:t>
      </w:r>
      <w:r>
        <w:tab/>
      </w:r>
      <w:r>
        <w:rPr>
          <w:spacing w:val="15"/>
        </w:rPr>
        <w:t>药审中心应当每年公开上一年度的</w:t>
      </w:r>
      <w:r>
        <w:t>药</w:t>
      </w:r>
      <w:r>
        <w:rPr>
          <w:spacing w:val="-2"/>
        </w:rPr>
        <w:t>品审评年度报告</w:t>
      </w:r>
      <w:r>
        <w:rPr>
          <w:spacing w:val="-157"/>
        </w:rPr>
        <w:t>。</w:t>
      </w:r>
      <w:r>
        <w:rPr>
          <w:spacing w:val="-2"/>
        </w:rPr>
        <w:t>药品审评年度报告主要包括药品注册申请受理情况</w:t>
      </w:r>
      <w:r>
        <w:rPr>
          <w:spacing w:val="-159"/>
        </w:rPr>
        <w:t>、</w:t>
      </w:r>
      <w:r>
        <w:rPr>
          <w:spacing w:val="-2"/>
        </w:rPr>
        <w:t>药品注册申请审评审批情况</w:t>
      </w:r>
      <w:r>
        <w:rPr>
          <w:spacing w:val="-157"/>
        </w:rPr>
        <w:t>、</w:t>
      </w:r>
      <w:r>
        <w:rPr>
          <w:spacing w:val="-2"/>
        </w:rPr>
        <w:t>重点治疗领域品种、重点工作进展情况、下一年度重点工作安排等。</w:t>
      </w:r>
    </w:p>
    <w:p w14:paraId="4870070D" w14:textId="28D79981" w:rsidR="0021489E" w:rsidRPr="00180C30" w:rsidRDefault="00180C30" w:rsidP="00180C30">
      <w:pPr>
        <w:pStyle w:val="a3"/>
        <w:spacing w:before="10"/>
        <w:ind w:left="0"/>
        <w:jc w:val="center"/>
        <w:rPr>
          <w:rFonts w:hint="eastAsia"/>
          <w:sz w:val="24"/>
          <w:szCs w:val="36"/>
        </w:rPr>
      </w:pP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第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六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 xml:space="preserve">　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监督与管理</w:t>
      </w:r>
    </w:p>
    <w:p w14:paraId="0CCB4967" w14:textId="77777777" w:rsidR="0021489E" w:rsidRDefault="00000000">
      <w:pPr>
        <w:pStyle w:val="a3"/>
        <w:tabs>
          <w:tab w:val="left" w:pos="3060"/>
        </w:tabs>
        <w:spacing w:line="364" w:lineRule="auto"/>
        <w:ind w:right="119" w:firstLine="710"/>
        <w:rPr>
          <w:rFonts w:hint="eastAsia"/>
        </w:rPr>
      </w:pPr>
      <w:r>
        <w:rPr>
          <w:spacing w:val="-4"/>
        </w:rPr>
        <w:t>第二十四条</w:t>
      </w:r>
      <w:r>
        <w:tab/>
      </w:r>
      <w:r>
        <w:rPr>
          <w:spacing w:val="14"/>
        </w:rPr>
        <w:t>药品审评审批信息公开工作应当接</w:t>
      </w:r>
      <w:r>
        <w:t xml:space="preserve">受 </w:t>
      </w:r>
      <w:r>
        <w:rPr>
          <w:spacing w:val="-2"/>
        </w:rPr>
        <w:t>社会监督</w:t>
      </w:r>
      <w:r>
        <w:rPr>
          <w:spacing w:val="-157"/>
        </w:rPr>
        <w:t>，</w:t>
      </w:r>
      <w:r>
        <w:rPr>
          <w:spacing w:val="-2"/>
        </w:rPr>
        <w:t>药审中心在门户网站设置专栏收集社会各界意见，优化信息公开平台建设</w:t>
      </w:r>
      <w:r>
        <w:rPr>
          <w:spacing w:val="-80"/>
        </w:rPr>
        <w:t>，</w:t>
      </w:r>
      <w:r>
        <w:rPr>
          <w:spacing w:val="-2"/>
        </w:rPr>
        <w:t>建立相应工作机制和工作流程</w:t>
      </w:r>
      <w:r>
        <w:rPr>
          <w:spacing w:val="-80"/>
        </w:rPr>
        <w:t>，</w:t>
      </w:r>
      <w:r>
        <w:rPr>
          <w:spacing w:val="-2"/>
        </w:rPr>
        <w:t>完 善信息公开工作</w:t>
      </w:r>
      <w:r>
        <w:rPr>
          <w:spacing w:val="-77"/>
        </w:rPr>
        <w:t>。</w:t>
      </w:r>
      <w:r>
        <w:rPr>
          <w:spacing w:val="-2"/>
        </w:rPr>
        <w:t>对于发布的信息如存在争议</w:t>
      </w:r>
      <w:r>
        <w:rPr>
          <w:spacing w:val="-80"/>
        </w:rPr>
        <w:t>、</w:t>
      </w:r>
      <w:r>
        <w:rPr>
          <w:spacing w:val="-2"/>
        </w:rPr>
        <w:t>不完整或有 误的应及时予以澄清。</w:t>
      </w:r>
    </w:p>
    <w:p w14:paraId="6EE73B16" w14:textId="45132E63" w:rsidR="0021489E" w:rsidRPr="00AE41BD" w:rsidRDefault="00AE41BD" w:rsidP="00AE41BD">
      <w:pPr>
        <w:pStyle w:val="a3"/>
        <w:spacing w:before="10"/>
        <w:ind w:left="0"/>
        <w:jc w:val="center"/>
        <w:rPr>
          <w:rFonts w:hint="eastAsia"/>
          <w:sz w:val="24"/>
          <w:szCs w:val="36"/>
        </w:rPr>
      </w:pP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>第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六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 xml:space="preserve">　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附</w:t>
      </w:r>
      <w:r w:rsidRPr="001A5ED5">
        <w:rPr>
          <w:rFonts w:asciiTheme="minorEastAsia" w:eastAsiaTheme="minorEastAsia" w:hAnsiTheme="minorEastAsia" w:hint="eastAsia"/>
          <w:b/>
          <w:bCs/>
          <w:sz w:val="36"/>
          <w:szCs w:val="44"/>
        </w:rPr>
        <w:t xml:space="preserve">　</w:t>
      </w:r>
      <w:r>
        <w:rPr>
          <w:rFonts w:asciiTheme="minorEastAsia" w:eastAsiaTheme="minorEastAsia" w:hAnsiTheme="minorEastAsia" w:hint="eastAsia"/>
          <w:b/>
          <w:bCs/>
          <w:sz w:val="36"/>
          <w:szCs w:val="44"/>
        </w:rPr>
        <w:t>则</w:t>
      </w:r>
    </w:p>
    <w:p w14:paraId="37D2BA85" w14:textId="77777777" w:rsidR="0021489E" w:rsidRDefault="00000000">
      <w:pPr>
        <w:pStyle w:val="a3"/>
        <w:spacing w:before="64" w:line="364" w:lineRule="auto"/>
        <w:ind w:right="436" w:firstLine="710"/>
        <w:jc w:val="both"/>
        <w:rPr>
          <w:rFonts w:hint="eastAsia"/>
        </w:rPr>
      </w:pPr>
      <w:r>
        <w:rPr>
          <w:w w:val="99"/>
        </w:rPr>
        <w:t>第二十五条</w:t>
      </w:r>
      <w:r>
        <w:rPr>
          <w:spacing w:val="2"/>
        </w:rPr>
        <w:t xml:space="preserve">   </w:t>
      </w:r>
      <w:r>
        <w:rPr>
          <w:w w:val="99"/>
        </w:rPr>
        <w:t>本办法自</w:t>
      </w:r>
      <w:r>
        <w:rPr>
          <w:spacing w:val="-67"/>
        </w:rPr>
        <w:t xml:space="preserve"> </w:t>
      </w:r>
      <w:r>
        <w:rPr>
          <w:rFonts w:ascii="Times New Roman" w:eastAsia="Times New Roman"/>
          <w:spacing w:val="1"/>
          <w:w w:val="99"/>
        </w:rPr>
        <w:t>202</w:t>
      </w:r>
      <w:r>
        <w:rPr>
          <w:rFonts w:ascii="Times New Roman" w:eastAsia="Times New Roman"/>
          <w:w w:val="99"/>
        </w:rPr>
        <w:t>1</w:t>
      </w:r>
      <w:r>
        <w:rPr>
          <w:rFonts w:ascii="Times New Roman" w:eastAsia="Times New Roman"/>
          <w:spacing w:val="12"/>
        </w:rPr>
        <w:t xml:space="preserve"> </w:t>
      </w:r>
      <w:r>
        <w:rPr>
          <w:w w:val="99"/>
        </w:rPr>
        <w:t>年</w:t>
      </w:r>
      <w:r>
        <w:rPr>
          <w:spacing w:val="-64"/>
        </w:rPr>
        <w:t xml:space="preserve"> </w:t>
      </w:r>
      <w:r>
        <w:rPr>
          <w:rFonts w:ascii="Times New Roman" w:eastAsia="Times New Roman"/>
          <w:w w:val="99"/>
        </w:rPr>
        <w:t>6</w:t>
      </w:r>
      <w:r>
        <w:rPr>
          <w:rFonts w:ascii="Times New Roman" w:eastAsia="Times New Roman"/>
          <w:spacing w:val="14"/>
        </w:rPr>
        <w:t xml:space="preserve"> </w:t>
      </w:r>
      <w:r>
        <w:rPr>
          <w:w w:val="99"/>
        </w:rPr>
        <w:t>月</w:t>
      </w:r>
      <w:r>
        <w:rPr>
          <w:spacing w:val="-64"/>
        </w:rPr>
        <w:t xml:space="preserve"> </w:t>
      </w:r>
      <w:r>
        <w:rPr>
          <w:rFonts w:ascii="Times New Roman" w:eastAsia="Times New Roman"/>
          <w:w w:val="99"/>
        </w:rPr>
        <w:t>1</w:t>
      </w:r>
      <w:r>
        <w:rPr>
          <w:rFonts w:ascii="Times New Roman" w:eastAsia="Times New Roman"/>
          <w:spacing w:val="14"/>
        </w:rPr>
        <w:t xml:space="preserve"> </w:t>
      </w:r>
      <w:r>
        <w:rPr>
          <w:spacing w:val="-2"/>
          <w:w w:val="99"/>
        </w:rPr>
        <w:t>日起施行。前</w:t>
      </w:r>
      <w:r>
        <w:rPr>
          <w:spacing w:val="6"/>
          <w:w w:val="99"/>
        </w:rPr>
        <w:t>期颁布的与药品审评审批信息公开相关的法规与本办法不</w:t>
      </w:r>
      <w:r>
        <w:rPr>
          <w:spacing w:val="-12"/>
          <w:w w:val="99"/>
        </w:rPr>
        <w:t>一致的内容，以本办法为准。法律、法规另有规定的，从其</w:t>
      </w:r>
      <w:r>
        <w:rPr>
          <w:w w:val="99"/>
        </w:rPr>
        <w:t>规定。</w:t>
      </w:r>
    </w:p>
    <w:p w14:paraId="2A4A6027" w14:textId="77777777" w:rsidR="0021489E" w:rsidRDefault="0021489E">
      <w:pPr>
        <w:pStyle w:val="a3"/>
        <w:ind w:left="0"/>
        <w:rPr>
          <w:rFonts w:hint="eastAsia"/>
        </w:rPr>
      </w:pPr>
    </w:p>
    <w:p w14:paraId="025777DC" w14:textId="77777777" w:rsidR="0021489E" w:rsidRDefault="00000000">
      <w:pPr>
        <w:pStyle w:val="a3"/>
        <w:spacing w:before="218"/>
        <w:ind w:left="919"/>
        <w:rPr>
          <w:rFonts w:hint="eastAsia"/>
        </w:rPr>
      </w:pPr>
      <w:r>
        <w:rPr>
          <w:w w:val="95"/>
        </w:rPr>
        <w:t>附件：信息公开</w:t>
      </w:r>
      <w:r>
        <w:rPr>
          <w:spacing w:val="-5"/>
          <w:w w:val="95"/>
        </w:rPr>
        <w:t>目录</w:t>
      </w:r>
    </w:p>
    <w:p w14:paraId="709DF588" w14:textId="77777777" w:rsidR="0021489E" w:rsidRDefault="0021489E">
      <w:pPr>
        <w:rPr>
          <w:rFonts w:hint="eastAsia"/>
        </w:rPr>
        <w:sectPr w:rsidR="0021489E">
          <w:footerReference w:type="default" r:id="rId7"/>
          <w:pgSz w:w="11910" w:h="16840"/>
          <w:pgMar w:top="1480" w:right="1360" w:bottom="1180" w:left="1680" w:header="0" w:footer="995" w:gutter="0"/>
          <w:cols w:space="720"/>
        </w:sectPr>
      </w:pPr>
    </w:p>
    <w:p w14:paraId="76E14E9A" w14:textId="77777777" w:rsidR="0021489E" w:rsidRDefault="00000000">
      <w:pPr>
        <w:pStyle w:val="a3"/>
        <w:spacing w:before="27"/>
        <w:ind w:left="120"/>
        <w:rPr>
          <w:rFonts w:hint="eastAsia"/>
        </w:rPr>
      </w:pPr>
      <w:r>
        <w:rPr>
          <w:w w:val="95"/>
        </w:rPr>
        <w:lastRenderedPageBreak/>
        <w:t>附</w:t>
      </w:r>
      <w:r>
        <w:rPr>
          <w:spacing w:val="-10"/>
        </w:rPr>
        <w:t>件</w:t>
      </w:r>
    </w:p>
    <w:p w14:paraId="3C9165F4" w14:textId="12AC93BE" w:rsidR="0021489E" w:rsidRPr="00AE41BD" w:rsidRDefault="00AE41BD" w:rsidP="00AE41BD">
      <w:pPr>
        <w:pStyle w:val="a3"/>
        <w:spacing w:before="10"/>
        <w:ind w:left="0"/>
        <w:jc w:val="center"/>
        <w:rPr>
          <w:rFonts w:asciiTheme="minorEastAsia" w:eastAsiaTheme="minorEastAsia" w:hAnsiTheme="minorEastAsia" w:hint="eastAsia"/>
          <w:b/>
          <w:bCs/>
          <w:sz w:val="36"/>
          <w:szCs w:val="44"/>
        </w:rPr>
      </w:pPr>
      <w:r w:rsidRPr="00AE41BD">
        <w:rPr>
          <w:rFonts w:asciiTheme="minorEastAsia" w:eastAsiaTheme="minorEastAsia" w:hAnsiTheme="minorEastAsia"/>
          <w:b/>
          <w:bCs/>
          <w:sz w:val="36"/>
          <w:szCs w:val="44"/>
        </w:rPr>
        <w:t>信息公开目录</w:t>
      </w:r>
    </w:p>
    <w:p w14:paraId="31010CCC" w14:textId="77777777" w:rsidR="0021489E" w:rsidRDefault="00000000">
      <w:pPr>
        <w:pStyle w:val="a3"/>
        <w:spacing w:before="167"/>
        <w:ind w:left="1020"/>
        <w:rPr>
          <w:rFonts w:hint="eastAsia"/>
        </w:rPr>
      </w:pPr>
      <w:r>
        <w:rPr>
          <w:spacing w:val="-2"/>
          <w:w w:val="95"/>
        </w:rPr>
        <w:t>一、 受</w:t>
      </w:r>
      <w:r>
        <w:rPr>
          <w:w w:val="95"/>
        </w:rPr>
        <w:t>理信</w:t>
      </w:r>
      <w:r>
        <w:rPr>
          <w:spacing w:val="-10"/>
          <w:w w:val="95"/>
        </w:rPr>
        <w:t>息</w:t>
      </w:r>
    </w:p>
    <w:p w14:paraId="1054A8B5" w14:textId="77777777" w:rsidR="0021489E" w:rsidRDefault="00000000">
      <w:pPr>
        <w:pStyle w:val="a4"/>
        <w:numPr>
          <w:ilvl w:val="0"/>
          <w:numId w:val="4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受理品种信</w:t>
      </w:r>
      <w:r>
        <w:rPr>
          <w:spacing w:val="-10"/>
          <w:w w:val="95"/>
          <w:sz w:val="32"/>
        </w:rPr>
        <w:t>息</w:t>
      </w:r>
    </w:p>
    <w:p w14:paraId="1AD8DCE1" w14:textId="77777777" w:rsidR="0021489E" w:rsidRDefault="00000000">
      <w:pPr>
        <w:pStyle w:val="a4"/>
        <w:numPr>
          <w:ilvl w:val="0"/>
          <w:numId w:val="4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申报质量共性问</w:t>
      </w:r>
      <w:r>
        <w:rPr>
          <w:spacing w:val="-10"/>
          <w:w w:val="95"/>
          <w:sz w:val="32"/>
        </w:rPr>
        <w:t>题</w:t>
      </w:r>
    </w:p>
    <w:p w14:paraId="0C9E7544" w14:textId="77777777" w:rsidR="0021489E" w:rsidRDefault="00000000">
      <w:pPr>
        <w:pStyle w:val="a3"/>
        <w:spacing w:before="214"/>
        <w:ind w:left="1020"/>
        <w:rPr>
          <w:rFonts w:hint="eastAsia"/>
        </w:rPr>
      </w:pPr>
      <w:r>
        <w:rPr>
          <w:w w:val="95"/>
        </w:rPr>
        <w:t>二、</w:t>
      </w:r>
      <w:r>
        <w:rPr>
          <w:spacing w:val="40"/>
        </w:rPr>
        <w:t xml:space="preserve"> </w:t>
      </w:r>
      <w:r>
        <w:rPr>
          <w:w w:val="95"/>
        </w:rPr>
        <w:t>审评审批过程信</w:t>
      </w:r>
      <w:r>
        <w:rPr>
          <w:spacing w:val="-10"/>
          <w:w w:val="95"/>
        </w:rPr>
        <w:t>息</w:t>
      </w:r>
    </w:p>
    <w:p w14:paraId="360556CB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spacing w:before="215"/>
        <w:ind w:hanging="361"/>
        <w:rPr>
          <w:rFonts w:hint="eastAsia"/>
          <w:sz w:val="32"/>
        </w:rPr>
      </w:pPr>
      <w:r>
        <w:rPr>
          <w:w w:val="95"/>
          <w:sz w:val="32"/>
        </w:rPr>
        <w:t>审评时</w:t>
      </w:r>
      <w:r>
        <w:rPr>
          <w:spacing w:val="-10"/>
          <w:w w:val="95"/>
          <w:sz w:val="32"/>
        </w:rPr>
        <w:t>限</w:t>
      </w:r>
    </w:p>
    <w:p w14:paraId="05DF8038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工作程</w:t>
      </w:r>
      <w:r>
        <w:rPr>
          <w:spacing w:val="-10"/>
          <w:w w:val="95"/>
          <w:sz w:val="32"/>
        </w:rPr>
        <w:t>序</w:t>
      </w:r>
    </w:p>
    <w:p w14:paraId="6A4688FB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spacing w:before="213"/>
        <w:ind w:hanging="361"/>
        <w:rPr>
          <w:rFonts w:hint="eastAsia"/>
          <w:sz w:val="32"/>
        </w:rPr>
      </w:pPr>
      <w:r>
        <w:rPr>
          <w:w w:val="95"/>
          <w:sz w:val="32"/>
        </w:rPr>
        <w:t>内设机构及联系</w:t>
      </w:r>
      <w:r>
        <w:rPr>
          <w:spacing w:val="-5"/>
          <w:w w:val="95"/>
          <w:sz w:val="32"/>
        </w:rPr>
        <w:t>方式</w:t>
      </w:r>
    </w:p>
    <w:p w14:paraId="2F01FE92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spacing w:before="215"/>
        <w:ind w:hanging="361"/>
        <w:rPr>
          <w:rFonts w:hint="eastAsia"/>
          <w:sz w:val="32"/>
        </w:rPr>
      </w:pPr>
      <w:r>
        <w:rPr>
          <w:w w:val="95"/>
          <w:sz w:val="32"/>
        </w:rPr>
        <w:t>审评进</w:t>
      </w:r>
      <w:r>
        <w:rPr>
          <w:spacing w:val="-10"/>
          <w:w w:val="95"/>
          <w:sz w:val="32"/>
        </w:rPr>
        <w:t>度</w:t>
      </w:r>
    </w:p>
    <w:p w14:paraId="7A8FE467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spacing w:before="213"/>
        <w:ind w:hanging="361"/>
        <w:rPr>
          <w:rFonts w:hint="eastAsia"/>
          <w:sz w:val="32"/>
        </w:rPr>
      </w:pPr>
      <w:r>
        <w:rPr>
          <w:w w:val="95"/>
          <w:sz w:val="32"/>
        </w:rPr>
        <w:t>优先审评信</w:t>
      </w:r>
      <w:r>
        <w:rPr>
          <w:spacing w:val="-10"/>
          <w:w w:val="95"/>
          <w:sz w:val="32"/>
        </w:rPr>
        <w:t>息</w:t>
      </w:r>
    </w:p>
    <w:p w14:paraId="7D3A3A8D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spacing w:before="215"/>
        <w:ind w:hanging="361"/>
        <w:rPr>
          <w:rFonts w:hint="eastAsia"/>
          <w:sz w:val="32"/>
        </w:rPr>
      </w:pPr>
      <w:r>
        <w:rPr>
          <w:w w:val="95"/>
          <w:sz w:val="32"/>
        </w:rPr>
        <w:t>突破性治疗信</w:t>
      </w:r>
      <w:r>
        <w:rPr>
          <w:spacing w:val="-10"/>
          <w:w w:val="95"/>
          <w:sz w:val="32"/>
        </w:rPr>
        <w:t>息</w:t>
      </w:r>
    </w:p>
    <w:p w14:paraId="3DE52C3B" w14:textId="77777777" w:rsidR="0021489E" w:rsidRDefault="00000000">
      <w:pPr>
        <w:pStyle w:val="a4"/>
        <w:numPr>
          <w:ilvl w:val="0"/>
          <w:numId w:val="3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指导原则和审评</w:t>
      </w:r>
      <w:r>
        <w:rPr>
          <w:spacing w:val="-5"/>
          <w:w w:val="95"/>
          <w:sz w:val="32"/>
        </w:rPr>
        <w:t>标准</w:t>
      </w:r>
    </w:p>
    <w:p w14:paraId="1BDEBAC3" w14:textId="77777777" w:rsidR="0021489E" w:rsidRDefault="00000000">
      <w:pPr>
        <w:pStyle w:val="a3"/>
        <w:spacing w:before="214"/>
        <w:ind w:left="1020"/>
        <w:rPr>
          <w:rFonts w:hint="eastAsia"/>
        </w:rPr>
      </w:pPr>
      <w:r>
        <w:rPr>
          <w:w w:val="95"/>
        </w:rPr>
        <w:t>三、</w:t>
      </w:r>
      <w:r>
        <w:rPr>
          <w:spacing w:val="40"/>
        </w:rPr>
        <w:t xml:space="preserve"> </w:t>
      </w:r>
      <w:r>
        <w:rPr>
          <w:w w:val="95"/>
        </w:rPr>
        <w:t>审评审批结果信</w:t>
      </w:r>
      <w:r>
        <w:rPr>
          <w:spacing w:val="-10"/>
          <w:w w:val="95"/>
        </w:rPr>
        <w:t>息</w:t>
      </w:r>
    </w:p>
    <w:p w14:paraId="4AAF90D3" w14:textId="77777777" w:rsidR="0021489E" w:rsidRDefault="00000000">
      <w:pPr>
        <w:pStyle w:val="a4"/>
        <w:numPr>
          <w:ilvl w:val="0"/>
          <w:numId w:val="2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临床试验批准信</w:t>
      </w:r>
      <w:r>
        <w:rPr>
          <w:spacing w:val="-10"/>
          <w:w w:val="95"/>
          <w:sz w:val="32"/>
        </w:rPr>
        <w:t>息</w:t>
      </w:r>
    </w:p>
    <w:p w14:paraId="4C53BB27" w14:textId="77777777" w:rsidR="0021489E" w:rsidRDefault="00000000">
      <w:pPr>
        <w:pStyle w:val="a4"/>
        <w:numPr>
          <w:ilvl w:val="0"/>
          <w:numId w:val="2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上市药品信</w:t>
      </w:r>
      <w:r>
        <w:rPr>
          <w:spacing w:val="-10"/>
          <w:w w:val="95"/>
          <w:sz w:val="32"/>
        </w:rPr>
        <w:t>息</w:t>
      </w:r>
    </w:p>
    <w:p w14:paraId="433FB277" w14:textId="77777777" w:rsidR="0021489E" w:rsidRDefault="00000000">
      <w:pPr>
        <w:pStyle w:val="a4"/>
        <w:numPr>
          <w:ilvl w:val="0"/>
          <w:numId w:val="2"/>
        </w:numPr>
        <w:tabs>
          <w:tab w:val="left" w:pos="2101"/>
        </w:tabs>
        <w:ind w:hanging="359"/>
        <w:rPr>
          <w:rFonts w:hint="eastAsia"/>
          <w:sz w:val="32"/>
        </w:rPr>
      </w:pPr>
      <w:r>
        <w:rPr>
          <w:w w:val="95"/>
          <w:sz w:val="32"/>
        </w:rPr>
        <w:t>原辅包</w:t>
      </w:r>
      <w:r>
        <w:rPr>
          <w:spacing w:val="-5"/>
          <w:w w:val="95"/>
          <w:sz w:val="32"/>
        </w:rPr>
        <w:t>信息</w:t>
      </w:r>
    </w:p>
    <w:p w14:paraId="7DAE5D43" w14:textId="77777777" w:rsidR="0021489E" w:rsidRDefault="00000000">
      <w:pPr>
        <w:pStyle w:val="a4"/>
        <w:numPr>
          <w:ilvl w:val="0"/>
          <w:numId w:val="2"/>
        </w:numPr>
        <w:tabs>
          <w:tab w:val="left" w:pos="2101"/>
        </w:tabs>
        <w:spacing w:before="215"/>
        <w:ind w:hanging="361"/>
        <w:rPr>
          <w:rFonts w:hint="eastAsia"/>
          <w:sz w:val="32"/>
        </w:rPr>
      </w:pPr>
      <w:r>
        <w:rPr>
          <w:w w:val="95"/>
          <w:sz w:val="32"/>
        </w:rPr>
        <w:t>药品目录集信</w:t>
      </w:r>
      <w:r>
        <w:rPr>
          <w:spacing w:val="-10"/>
          <w:w w:val="95"/>
          <w:sz w:val="32"/>
        </w:rPr>
        <w:t>息</w:t>
      </w:r>
    </w:p>
    <w:p w14:paraId="253CD1F8" w14:textId="77777777" w:rsidR="0021489E" w:rsidRDefault="00000000">
      <w:pPr>
        <w:pStyle w:val="a3"/>
        <w:spacing w:before="214"/>
        <w:ind w:left="1020"/>
        <w:rPr>
          <w:rFonts w:hint="eastAsia"/>
        </w:rPr>
      </w:pPr>
      <w:r>
        <w:rPr>
          <w:w w:val="95"/>
        </w:rPr>
        <w:t>四、</w:t>
      </w:r>
      <w:r>
        <w:rPr>
          <w:spacing w:val="40"/>
        </w:rPr>
        <w:t xml:space="preserve"> </w:t>
      </w:r>
      <w:r>
        <w:rPr>
          <w:w w:val="95"/>
        </w:rPr>
        <w:t>其他审评审批信</w:t>
      </w:r>
      <w:r>
        <w:rPr>
          <w:spacing w:val="-10"/>
          <w:w w:val="95"/>
        </w:rPr>
        <w:t>息</w:t>
      </w:r>
    </w:p>
    <w:p w14:paraId="294FF009" w14:textId="77777777" w:rsidR="0021489E" w:rsidRDefault="00000000">
      <w:pPr>
        <w:pStyle w:val="a4"/>
        <w:numPr>
          <w:ilvl w:val="0"/>
          <w:numId w:val="1"/>
        </w:numPr>
        <w:tabs>
          <w:tab w:val="left" w:pos="2101"/>
        </w:tabs>
        <w:spacing w:before="213"/>
        <w:ind w:hanging="361"/>
        <w:rPr>
          <w:rFonts w:hint="eastAsia"/>
          <w:sz w:val="32"/>
        </w:rPr>
      </w:pPr>
      <w:r>
        <w:rPr>
          <w:w w:val="95"/>
          <w:sz w:val="32"/>
        </w:rPr>
        <w:t>一般性技术问</w:t>
      </w:r>
      <w:r>
        <w:rPr>
          <w:spacing w:val="-10"/>
          <w:w w:val="95"/>
          <w:sz w:val="32"/>
        </w:rPr>
        <w:t>题</w:t>
      </w:r>
    </w:p>
    <w:p w14:paraId="7AB8540B" w14:textId="77777777" w:rsidR="0021489E" w:rsidRDefault="00000000">
      <w:pPr>
        <w:pStyle w:val="a4"/>
        <w:numPr>
          <w:ilvl w:val="0"/>
          <w:numId w:val="1"/>
        </w:numPr>
        <w:tabs>
          <w:tab w:val="left" w:pos="2101"/>
        </w:tabs>
        <w:ind w:hanging="361"/>
        <w:rPr>
          <w:rFonts w:hint="eastAsia"/>
          <w:sz w:val="32"/>
        </w:rPr>
      </w:pPr>
      <w:r>
        <w:rPr>
          <w:w w:val="95"/>
          <w:sz w:val="32"/>
        </w:rPr>
        <w:t>办事指</w:t>
      </w:r>
      <w:r>
        <w:rPr>
          <w:spacing w:val="-10"/>
          <w:w w:val="95"/>
          <w:sz w:val="32"/>
        </w:rPr>
        <w:t>南</w:t>
      </w:r>
    </w:p>
    <w:p w14:paraId="0C7D34D7" w14:textId="77777777" w:rsidR="0021489E" w:rsidRDefault="00000000">
      <w:pPr>
        <w:pStyle w:val="a4"/>
        <w:numPr>
          <w:ilvl w:val="0"/>
          <w:numId w:val="1"/>
        </w:numPr>
        <w:tabs>
          <w:tab w:val="left" w:pos="2101"/>
        </w:tabs>
        <w:spacing w:before="215"/>
        <w:ind w:hanging="361"/>
        <w:rPr>
          <w:rFonts w:hint="eastAsia"/>
          <w:sz w:val="32"/>
        </w:rPr>
      </w:pPr>
      <w:r>
        <w:rPr>
          <w:w w:val="95"/>
          <w:sz w:val="32"/>
        </w:rPr>
        <w:t>药物临床试验信</w:t>
      </w:r>
      <w:r>
        <w:rPr>
          <w:spacing w:val="-10"/>
          <w:w w:val="95"/>
          <w:sz w:val="32"/>
        </w:rPr>
        <w:t>息</w:t>
      </w:r>
    </w:p>
    <w:p w14:paraId="3260F243" w14:textId="77777777" w:rsidR="0021489E" w:rsidRDefault="00000000">
      <w:pPr>
        <w:pStyle w:val="a4"/>
        <w:numPr>
          <w:ilvl w:val="0"/>
          <w:numId w:val="1"/>
        </w:numPr>
        <w:tabs>
          <w:tab w:val="left" w:pos="2101"/>
        </w:tabs>
        <w:spacing w:before="47"/>
        <w:ind w:hanging="361"/>
        <w:rPr>
          <w:rFonts w:hint="eastAsia"/>
          <w:sz w:val="32"/>
        </w:rPr>
      </w:pPr>
      <w:r>
        <w:rPr>
          <w:w w:val="95"/>
          <w:sz w:val="32"/>
        </w:rPr>
        <w:t>审评年度报</w:t>
      </w:r>
      <w:r>
        <w:rPr>
          <w:spacing w:val="-10"/>
          <w:w w:val="95"/>
          <w:sz w:val="32"/>
        </w:rPr>
        <w:t>告</w:t>
      </w:r>
    </w:p>
    <w:sectPr w:rsidR="0021489E">
      <w:pgSz w:w="11910" w:h="16840"/>
      <w:pgMar w:top="1480" w:right="1360" w:bottom="1180" w:left="1680" w:header="0" w:footer="9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FE8E9" w14:textId="77777777" w:rsidR="005F4510" w:rsidRDefault="005F4510">
      <w:pPr>
        <w:rPr>
          <w:rFonts w:hint="eastAsia"/>
        </w:rPr>
      </w:pPr>
      <w:r>
        <w:separator/>
      </w:r>
    </w:p>
  </w:endnote>
  <w:endnote w:type="continuationSeparator" w:id="0">
    <w:p w14:paraId="6AF2F03D" w14:textId="77777777" w:rsidR="005F4510" w:rsidRDefault="005F451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10155" w14:textId="77777777" w:rsidR="0021489E" w:rsidRDefault="00000000">
    <w:pPr>
      <w:pStyle w:val="a3"/>
      <w:spacing w:line="14" w:lineRule="auto"/>
      <w:ind w:left="0"/>
      <w:rPr>
        <w:rFonts w:hint="eastAsia"/>
        <w:sz w:val="20"/>
      </w:rPr>
    </w:pPr>
    <w:r>
      <w:rPr>
        <w:rFonts w:hint="eastAsia"/>
      </w:rPr>
      <w:pict w14:anchorId="32CE0D21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292.35pt;margin-top:781.2pt;width:11.5pt;height:12pt;z-index:-251658752;mso-position-horizontal-relative:page;mso-position-vertical-relative:page" filled="f" stroked="f">
          <v:textbox inset="0,0,0,0">
            <w:txbxContent>
              <w:p w14:paraId="25DA6B94" w14:textId="77777777" w:rsidR="0021489E" w:rsidRDefault="00000000">
                <w:pPr>
                  <w:spacing w:before="12"/>
                  <w:ind w:left="60"/>
                  <w:rPr>
                    <w:rFonts w:ascii="Times New Roman" w:hint="eastAsia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1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083B2" w14:textId="77777777" w:rsidR="005F4510" w:rsidRDefault="005F4510">
      <w:pPr>
        <w:rPr>
          <w:rFonts w:hint="eastAsia"/>
        </w:rPr>
      </w:pPr>
      <w:r>
        <w:separator/>
      </w:r>
    </w:p>
  </w:footnote>
  <w:footnote w:type="continuationSeparator" w:id="0">
    <w:p w14:paraId="7E6162CD" w14:textId="77777777" w:rsidR="005F4510" w:rsidRDefault="005F451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F65BC"/>
    <w:multiLevelType w:val="hybridMultilevel"/>
    <w:tmpl w:val="5CB28EFE"/>
    <w:lvl w:ilvl="0" w:tplc="46881DDA">
      <w:start w:val="1"/>
      <w:numFmt w:val="decimal"/>
      <w:lvlText w:val="%1."/>
      <w:lvlJc w:val="left"/>
      <w:pPr>
        <w:ind w:left="21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zh-CN" w:bidi="ar-SA"/>
      </w:rPr>
    </w:lvl>
    <w:lvl w:ilvl="1" w:tplc="865CFC8A">
      <w:numFmt w:val="bullet"/>
      <w:lvlText w:val="•"/>
      <w:lvlJc w:val="left"/>
      <w:pPr>
        <w:ind w:left="2776" w:hanging="360"/>
      </w:pPr>
      <w:rPr>
        <w:rFonts w:hint="default"/>
        <w:lang w:val="en-US" w:eastAsia="zh-CN" w:bidi="ar-SA"/>
      </w:rPr>
    </w:lvl>
    <w:lvl w:ilvl="2" w:tplc="04B034BE">
      <w:numFmt w:val="bullet"/>
      <w:lvlText w:val="•"/>
      <w:lvlJc w:val="left"/>
      <w:pPr>
        <w:ind w:left="3453" w:hanging="360"/>
      </w:pPr>
      <w:rPr>
        <w:rFonts w:hint="default"/>
        <w:lang w:val="en-US" w:eastAsia="zh-CN" w:bidi="ar-SA"/>
      </w:rPr>
    </w:lvl>
    <w:lvl w:ilvl="3" w:tplc="D94CCE20">
      <w:numFmt w:val="bullet"/>
      <w:lvlText w:val="•"/>
      <w:lvlJc w:val="left"/>
      <w:pPr>
        <w:ind w:left="4129" w:hanging="360"/>
      </w:pPr>
      <w:rPr>
        <w:rFonts w:hint="default"/>
        <w:lang w:val="en-US" w:eastAsia="zh-CN" w:bidi="ar-SA"/>
      </w:rPr>
    </w:lvl>
    <w:lvl w:ilvl="4" w:tplc="6126637A">
      <w:numFmt w:val="bullet"/>
      <w:lvlText w:val="•"/>
      <w:lvlJc w:val="left"/>
      <w:pPr>
        <w:ind w:left="4806" w:hanging="360"/>
      </w:pPr>
      <w:rPr>
        <w:rFonts w:hint="default"/>
        <w:lang w:val="en-US" w:eastAsia="zh-CN" w:bidi="ar-SA"/>
      </w:rPr>
    </w:lvl>
    <w:lvl w:ilvl="5" w:tplc="BE1E0FDA">
      <w:numFmt w:val="bullet"/>
      <w:lvlText w:val="•"/>
      <w:lvlJc w:val="left"/>
      <w:pPr>
        <w:ind w:left="5483" w:hanging="360"/>
      </w:pPr>
      <w:rPr>
        <w:rFonts w:hint="default"/>
        <w:lang w:val="en-US" w:eastAsia="zh-CN" w:bidi="ar-SA"/>
      </w:rPr>
    </w:lvl>
    <w:lvl w:ilvl="6" w:tplc="597C6048">
      <w:numFmt w:val="bullet"/>
      <w:lvlText w:val="•"/>
      <w:lvlJc w:val="left"/>
      <w:pPr>
        <w:ind w:left="6159" w:hanging="360"/>
      </w:pPr>
      <w:rPr>
        <w:rFonts w:hint="default"/>
        <w:lang w:val="en-US" w:eastAsia="zh-CN" w:bidi="ar-SA"/>
      </w:rPr>
    </w:lvl>
    <w:lvl w:ilvl="7" w:tplc="0EFEA864">
      <w:numFmt w:val="bullet"/>
      <w:lvlText w:val="•"/>
      <w:lvlJc w:val="left"/>
      <w:pPr>
        <w:ind w:left="6836" w:hanging="360"/>
      </w:pPr>
      <w:rPr>
        <w:rFonts w:hint="default"/>
        <w:lang w:val="en-US" w:eastAsia="zh-CN" w:bidi="ar-SA"/>
      </w:rPr>
    </w:lvl>
    <w:lvl w:ilvl="8" w:tplc="9A3A4472">
      <w:numFmt w:val="bullet"/>
      <w:lvlText w:val="•"/>
      <w:lvlJc w:val="left"/>
      <w:pPr>
        <w:ind w:left="7513" w:hanging="360"/>
      </w:pPr>
      <w:rPr>
        <w:rFonts w:hint="default"/>
        <w:lang w:val="en-US" w:eastAsia="zh-CN" w:bidi="ar-SA"/>
      </w:rPr>
    </w:lvl>
  </w:abstractNum>
  <w:abstractNum w:abstractNumId="1" w15:restartNumberingAfterBreak="0">
    <w:nsid w:val="12A923DF"/>
    <w:multiLevelType w:val="hybridMultilevel"/>
    <w:tmpl w:val="C9B238EC"/>
    <w:lvl w:ilvl="0" w:tplc="2748527A">
      <w:start w:val="1"/>
      <w:numFmt w:val="decimal"/>
      <w:lvlText w:val="%1."/>
      <w:lvlJc w:val="left"/>
      <w:pPr>
        <w:ind w:left="21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zh-CN" w:bidi="ar-SA"/>
      </w:rPr>
    </w:lvl>
    <w:lvl w:ilvl="1" w:tplc="78EC5DB8">
      <w:numFmt w:val="bullet"/>
      <w:lvlText w:val="•"/>
      <w:lvlJc w:val="left"/>
      <w:pPr>
        <w:ind w:left="2776" w:hanging="360"/>
      </w:pPr>
      <w:rPr>
        <w:rFonts w:hint="default"/>
        <w:lang w:val="en-US" w:eastAsia="zh-CN" w:bidi="ar-SA"/>
      </w:rPr>
    </w:lvl>
    <w:lvl w:ilvl="2" w:tplc="F2BCB274">
      <w:numFmt w:val="bullet"/>
      <w:lvlText w:val="•"/>
      <w:lvlJc w:val="left"/>
      <w:pPr>
        <w:ind w:left="3453" w:hanging="360"/>
      </w:pPr>
      <w:rPr>
        <w:rFonts w:hint="default"/>
        <w:lang w:val="en-US" w:eastAsia="zh-CN" w:bidi="ar-SA"/>
      </w:rPr>
    </w:lvl>
    <w:lvl w:ilvl="3" w:tplc="B252A00E">
      <w:numFmt w:val="bullet"/>
      <w:lvlText w:val="•"/>
      <w:lvlJc w:val="left"/>
      <w:pPr>
        <w:ind w:left="4129" w:hanging="360"/>
      </w:pPr>
      <w:rPr>
        <w:rFonts w:hint="default"/>
        <w:lang w:val="en-US" w:eastAsia="zh-CN" w:bidi="ar-SA"/>
      </w:rPr>
    </w:lvl>
    <w:lvl w:ilvl="4" w:tplc="AE8A7130">
      <w:numFmt w:val="bullet"/>
      <w:lvlText w:val="•"/>
      <w:lvlJc w:val="left"/>
      <w:pPr>
        <w:ind w:left="4806" w:hanging="360"/>
      </w:pPr>
      <w:rPr>
        <w:rFonts w:hint="default"/>
        <w:lang w:val="en-US" w:eastAsia="zh-CN" w:bidi="ar-SA"/>
      </w:rPr>
    </w:lvl>
    <w:lvl w:ilvl="5" w:tplc="D916C258">
      <w:numFmt w:val="bullet"/>
      <w:lvlText w:val="•"/>
      <w:lvlJc w:val="left"/>
      <w:pPr>
        <w:ind w:left="5483" w:hanging="360"/>
      </w:pPr>
      <w:rPr>
        <w:rFonts w:hint="default"/>
        <w:lang w:val="en-US" w:eastAsia="zh-CN" w:bidi="ar-SA"/>
      </w:rPr>
    </w:lvl>
    <w:lvl w:ilvl="6" w:tplc="3790DCEC">
      <w:numFmt w:val="bullet"/>
      <w:lvlText w:val="•"/>
      <w:lvlJc w:val="left"/>
      <w:pPr>
        <w:ind w:left="6159" w:hanging="360"/>
      </w:pPr>
      <w:rPr>
        <w:rFonts w:hint="default"/>
        <w:lang w:val="en-US" w:eastAsia="zh-CN" w:bidi="ar-SA"/>
      </w:rPr>
    </w:lvl>
    <w:lvl w:ilvl="7" w:tplc="FF5C3062">
      <w:numFmt w:val="bullet"/>
      <w:lvlText w:val="•"/>
      <w:lvlJc w:val="left"/>
      <w:pPr>
        <w:ind w:left="6836" w:hanging="360"/>
      </w:pPr>
      <w:rPr>
        <w:rFonts w:hint="default"/>
        <w:lang w:val="en-US" w:eastAsia="zh-CN" w:bidi="ar-SA"/>
      </w:rPr>
    </w:lvl>
    <w:lvl w:ilvl="8" w:tplc="8F44A250">
      <w:numFmt w:val="bullet"/>
      <w:lvlText w:val="•"/>
      <w:lvlJc w:val="left"/>
      <w:pPr>
        <w:ind w:left="7513" w:hanging="360"/>
      </w:pPr>
      <w:rPr>
        <w:rFonts w:hint="default"/>
        <w:lang w:val="en-US" w:eastAsia="zh-CN" w:bidi="ar-SA"/>
      </w:rPr>
    </w:lvl>
  </w:abstractNum>
  <w:abstractNum w:abstractNumId="2" w15:restartNumberingAfterBreak="0">
    <w:nsid w:val="3E311C2F"/>
    <w:multiLevelType w:val="hybridMultilevel"/>
    <w:tmpl w:val="E34442E2"/>
    <w:lvl w:ilvl="0" w:tplc="4E520EEC">
      <w:start w:val="1"/>
      <w:numFmt w:val="decimal"/>
      <w:lvlText w:val="%1."/>
      <w:lvlJc w:val="left"/>
      <w:pPr>
        <w:ind w:left="21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zh-CN" w:bidi="ar-SA"/>
      </w:rPr>
    </w:lvl>
    <w:lvl w:ilvl="1" w:tplc="B074EDBE">
      <w:numFmt w:val="bullet"/>
      <w:lvlText w:val="•"/>
      <w:lvlJc w:val="left"/>
      <w:pPr>
        <w:ind w:left="2776" w:hanging="360"/>
      </w:pPr>
      <w:rPr>
        <w:rFonts w:hint="default"/>
        <w:lang w:val="en-US" w:eastAsia="zh-CN" w:bidi="ar-SA"/>
      </w:rPr>
    </w:lvl>
    <w:lvl w:ilvl="2" w:tplc="213A258E">
      <w:numFmt w:val="bullet"/>
      <w:lvlText w:val="•"/>
      <w:lvlJc w:val="left"/>
      <w:pPr>
        <w:ind w:left="3453" w:hanging="360"/>
      </w:pPr>
      <w:rPr>
        <w:rFonts w:hint="default"/>
        <w:lang w:val="en-US" w:eastAsia="zh-CN" w:bidi="ar-SA"/>
      </w:rPr>
    </w:lvl>
    <w:lvl w:ilvl="3" w:tplc="21C2744E">
      <w:numFmt w:val="bullet"/>
      <w:lvlText w:val="•"/>
      <w:lvlJc w:val="left"/>
      <w:pPr>
        <w:ind w:left="4129" w:hanging="360"/>
      </w:pPr>
      <w:rPr>
        <w:rFonts w:hint="default"/>
        <w:lang w:val="en-US" w:eastAsia="zh-CN" w:bidi="ar-SA"/>
      </w:rPr>
    </w:lvl>
    <w:lvl w:ilvl="4" w:tplc="726876C8">
      <w:numFmt w:val="bullet"/>
      <w:lvlText w:val="•"/>
      <w:lvlJc w:val="left"/>
      <w:pPr>
        <w:ind w:left="4806" w:hanging="360"/>
      </w:pPr>
      <w:rPr>
        <w:rFonts w:hint="default"/>
        <w:lang w:val="en-US" w:eastAsia="zh-CN" w:bidi="ar-SA"/>
      </w:rPr>
    </w:lvl>
    <w:lvl w:ilvl="5" w:tplc="581C8C5A">
      <w:numFmt w:val="bullet"/>
      <w:lvlText w:val="•"/>
      <w:lvlJc w:val="left"/>
      <w:pPr>
        <w:ind w:left="5483" w:hanging="360"/>
      </w:pPr>
      <w:rPr>
        <w:rFonts w:hint="default"/>
        <w:lang w:val="en-US" w:eastAsia="zh-CN" w:bidi="ar-SA"/>
      </w:rPr>
    </w:lvl>
    <w:lvl w:ilvl="6" w:tplc="03842238">
      <w:numFmt w:val="bullet"/>
      <w:lvlText w:val="•"/>
      <w:lvlJc w:val="left"/>
      <w:pPr>
        <w:ind w:left="6159" w:hanging="360"/>
      </w:pPr>
      <w:rPr>
        <w:rFonts w:hint="default"/>
        <w:lang w:val="en-US" w:eastAsia="zh-CN" w:bidi="ar-SA"/>
      </w:rPr>
    </w:lvl>
    <w:lvl w:ilvl="7" w:tplc="337A49EA">
      <w:numFmt w:val="bullet"/>
      <w:lvlText w:val="•"/>
      <w:lvlJc w:val="left"/>
      <w:pPr>
        <w:ind w:left="6836" w:hanging="360"/>
      </w:pPr>
      <w:rPr>
        <w:rFonts w:hint="default"/>
        <w:lang w:val="en-US" w:eastAsia="zh-CN" w:bidi="ar-SA"/>
      </w:rPr>
    </w:lvl>
    <w:lvl w:ilvl="8" w:tplc="EF24D97C">
      <w:numFmt w:val="bullet"/>
      <w:lvlText w:val="•"/>
      <w:lvlJc w:val="left"/>
      <w:pPr>
        <w:ind w:left="7513" w:hanging="360"/>
      </w:pPr>
      <w:rPr>
        <w:rFonts w:hint="default"/>
        <w:lang w:val="en-US" w:eastAsia="zh-CN" w:bidi="ar-SA"/>
      </w:rPr>
    </w:lvl>
  </w:abstractNum>
  <w:abstractNum w:abstractNumId="3" w15:restartNumberingAfterBreak="0">
    <w:nsid w:val="7A1B250D"/>
    <w:multiLevelType w:val="hybridMultilevel"/>
    <w:tmpl w:val="55E24700"/>
    <w:lvl w:ilvl="0" w:tplc="23248FA2">
      <w:start w:val="1"/>
      <w:numFmt w:val="decimal"/>
      <w:lvlText w:val="%1."/>
      <w:lvlJc w:val="left"/>
      <w:pPr>
        <w:ind w:left="210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en-US" w:eastAsia="zh-CN" w:bidi="ar-SA"/>
      </w:rPr>
    </w:lvl>
    <w:lvl w:ilvl="1" w:tplc="D51E8B98">
      <w:numFmt w:val="bullet"/>
      <w:lvlText w:val="•"/>
      <w:lvlJc w:val="left"/>
      <w:pPr>
        <w:ind w:left="2776" w:hanging="360"/>
      </w:pPr>
      <w:rPr>
        <w:rFonts w:hint="default"/>
        <w:lang w:val="en-US" w:eastAsia="zh-CN" w:bidi="ar-SA"/>
      </w:rPr>
    </w:lvl>
    <w:lvl w:ilvl="2" w:tplc="CD2E1918">
      <w:numFmt w:val="bullet"/>
      <w:lvlText w:val="•"/>
      <w:lvlJc w:val="left"/>
      <w:pPr>
        <w:ind w:left="3453" w:hanging="360"/>
      </w:pPr>
      <w:rPr>
        <w:rFonts w:hint="default"/>
        <w:lang w:val="en-US" w:eastAsia="zh-CN" w:bidi="ar-SA"/>
      </w:rPr>
    </w:lvl>
    <w:lvl w:ilvl="3" w:tplc="FBD4C10E">
      <w:numFmt w:val="bullet"/>
      <w:lvlText w:val="•"/>
      <w:lvlJc w:val="left"/>
      <w:pPr>
        <w:ind w:left="4129" w:hanging="360"/>
      </w:pPr>
      <w:rPr>
        <w:rFonts w:hint="default"/>
        <w:lang w:val="en-US" w:eastAsia="zh-CN" w:bidi="ar-SA"/>
      </w:rPr>
    </w:lvl>
    <w:lvl w:ilvl="4" w:tplc="F13068EA">
      <w:numFmt w:val="bullet"/>
      <w:lvlText w:val="•"/>
      <w:lvlJc w:val="left"/>
      <w:pPr>
        <w:ind w:left="4806" w:hanging="360"/>
      </w:pPr>
      <w:rPr>
        <w:rFonts w:hint="default"/>
        <w:lang w:val="en-US" w:eastAsia="zh-CN" w:bidi="ar-SA"/>
      </w:rPr>
    </w:lvl>
    <w:lvl w:ilvl="5" w:tplc="4106EE28">
      <w:numFmt w:val="bullet"/>
      <w:lvlText w:val="•"/>
      <w:lvlJc w:val="left"/>
      <w:pPr>
        <w:ind w:left="5483" w:hanging="360"/>
      </w:pPr>
      <w:rPr>
        <w:rFonts w:hint="default"/>
        <w:lang w:val="en-US" w:eastAsia="zh-CN" w:bidi="ar-SA"/>
      </w:rPr>
    </w:lvl>
    <w:lvl w:ilvl="6" w:tplc="20B892C2">
      <w:numFmt w:val="bullet"/>
      <w:lvlText w:val="•"/>
      <w:lvlJc w:val="left"/>
      <w:pPr>
        <w:ind w:left="6159" w:hanging="360"/>
      </w:pPr>
      <w:rPr>
        <w:rFonts w:hint="default"/>
        <w:lang w:val="en-US" w:eastAsia="zh-CN" w:bidi="ar-SA"/>
      </w:rPr>
    </w:lvl>
    <w:lvl w:ilvl="7" w:tplc="C5E69DE8">
      <w:numFmt w:val="bullet"/>
      <w:lvlText w:val="•"/>
      <w:lvlJc w:val="left"/>
      <w:pPr>
        <w:ind w:left="6836" w:hanging="360"/>
      </w:pPr>
      <w:rPr>
        <w:rFonts w:hint="default"/>
        <w:lang w:val="en-US" w:eastAsia="zh-CN" w:bidi="ar-SA"/>
      </w:rPr>
    </w:lvl>
    <w:lvl w:ilvl="8" w:tplc="70F28EC2">
      <w:numFmt w:val="bullet"/>
      <w:lvlText w:val="•"/>
      <w:lvlJc w:val="left"/>
      <w:pPr>
        <w:ind w:left="7513" w:hanging="360"/>
      </w:pPr>
      <w:rPr>
        <w:rFonts w:hint="default"/>
        <w:lang w:val="en-US" w:eastAsia="zh-CN" w:bidi="ar-SA"/>
      </w:rPr>
    </w:lvl>
  </w:abstractNum>
  <w:num w:numId="1" w16cid:durableId="1974627438">
    <w:abstractNumId w:val="3"/>
  </w:num>
  <w:num w:numId="2" w16cid:durableId="1620912459">
    <w:abstractNumId w:val="2"/>
  </w:num>
  <w:num w:numId="3" w16cid:durableId="345400602">
    <w:abstractNumId w:val="0"/>
  </w:num>
  <w:num w:numId="4" w16cid:durableId="1547834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489E"/>
    <w:rsid w:val="0012167B"/>
    <w:rsid w:val="00180C30"/>
    <w:rsid w:val="001A5ED5"/>
    <w:rsid w:val="0021489E"/>
    <w:rsid w:val="00416126"/>
    <w:rsid w:val="005F4510"/>
    <w:rsid w:val="00623E4C"/>
    <w:rsid w:val="007B4D6C"/>
    <w:rsid w:val="00A10D34"/>
    <w:rsid w:val="00AE41BD"/>
    <w:rsid w:val="00B05EB4"/>
    <w:rsid w:val="00CD396D"/>
    <w:rsid w:val="00D6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F08880"/>
  <w15:docId w15:val="{15A0321B-213E-40D5-AA75-A18B8A6D7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32"/>
      <w:szCs w:val="32"/>
    </w:rPr>
  </w:style>
  <w:style w:type="paragraph" w:styleId="a4">
    <w:name w:val="List Paragraph"/>
    <w:basedOn w:val="a"/>
    <w:uiPriority w:val="1"/>
    <w:qFormat/>
    <w:pPr>
      <w:spacing w:before="214"/>
      <w:ind w:left="2100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张鑫</dc:creator>
  <cp:lastModifiedBy>ME</cp:lastModifiedBy>
  <cp:revision>9</cp:revision>
  <dcterms:created xsi:type="dcterms:W3CDTF">2024-08-10T06:11:00Z</dcterms:created>
  <dcterms:modified xsi:type="dcterms:W3CDTF">2024-08-10T06:19:00Z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2024-08-10T00:00:00Z</vt:filetime>
  </property>
</Properties>
</file>