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21744" w14:textId="77777777" w:rsidR="008E4F9B" w:rsidRDefault="00000000">
      <w:pPr>
        <w:pStyle w:val="a3"/>
        <w:spacing w:before="43"/>
        <w:rPr>
          <w:rFonts w:hint="eastAsia"/>
        </w:rPr>
      </w:pPr>
      <w:r>
        <w:rPr>
          <w:spacing w:val="-5"/>
        </w:rPr>
        <w:t>附件</w:t>
      </w:r>
    </w:p>
    <w:p w14:paraId="3BE36731" w14:textId="77777777" w:rsidR="008E4F9B" w:rsidRDefault="008E4F9B">
      <w:pPr>
        <w:pStyle w:val="a3"/>
        <w:ind w:left="0"/>
        <w:rPr>
          <w:rFonts w:hint="eastAsia"/>
          <w:sz w:val="20"/>
        </w:rPr>
      </w:pPr>
    </w:p>
    <w:p w14:paraId="1DFA9453" w14:textId="77777777" w:rsidR="008E4F9B" w:rsidRDefault="008E4F9B">
      <w:pPr>
        <w:pStyle w:val="a3"/>
        <w:ind w:left="0"/>
        <w:rPr>
          <w:rFonts w:hint="eastAsia"/>
          <w:sz w:val="20"/>
        </w:rPr>
      </w:pPr>
    </w:p>
    <w:p w14:paraId="3118FF9B" w14:textId="77777777" w:rsidR="008E4F9B" w:rsidRDefault="008E4F9B">
      <w:pPr>
        <w:pStyle w:val="a3"/>
        <w:ind w:left="0"/>
        <w:rPr>
          <w:rFonts w:hint="eastAsia"/>
          <w:sz w:val="20"/>
        </w:rPr>
      </w:pPr>
    </w:p>
    <w:p w14:paraId="2712B3C7" w14:textId="77777777" w:rsidR="008E4F9B" w:rsidRDefault="008E4F9B">
      <w:pPr>
        <w:pStyle w:val="a3"/>
        <w:ind w:left="0"/>
        <w:rPr>
          <w:rFonts w:hint="eastAsia"/>
          <w:sz w:val="20"/>
        </w:rPr>
      </w:pPr>
    </w:p>
    <w:p w14:paraId="1387A44D" w14:textId="77777777" w:rsidR="008E4F9B" w:rsidRDefault="008E4F9B">
      <w:pPr>
        <w:pStyle w:val="a3"/>
        <w:ind w:left="0"/>
        <w:rPr>
          <w:rFonts w:hint="eastAsia"/>
          <w:sz w:val="20"/>
        </w:rPr>
      </w:pPr>
    </w:p>
    <w:p w14:paraId="55B6CAA1" w14:textId="77777777" w:rsidR="008E4F9B" w:rsidRDefault="008E4F9B">
      <w:pPr>
        <w:pStyle w:val="a3"/>
        <w:ind w:left="0"/>
        <w:rPr>
          <w:rFonts w:hint="eastAsia"/>
          <w:sz w:val="20"/>
        </w:rPr>
      </w:pPr>
    </w:p>
    <w:p w14:paraId="60886637" w14:textId="77777777" w:rsidR="008E4F9B" w:rsidRDefault="008E4F9B">
      <w:pPr>
        <w:pStyle w:val="a3"/>
        <w:ind w:left="0"/>
        <w:rPr>
          <w:rFonts w:hint="eastAsia"/>
          <w:sz w:val="20"/>
        </w:rPr>
      </w:pPr>
    </w:p>
    <w:p w14:paraId="6BC6431D" w14:textId="77777777" w:rsidR="008E4F9B" w:rsidRDefault="008E4F9B">
      <w:pPr>
        <w:pStyle w:val="a3"/>
        <w:ind w:left="0"/>
        <w:rPr>
          <w:rFonts w:hint="eastAsia"/>
          <w:sz w:val="20"/>
        </w:rPr>
      </w:pPr>
    </w:p>
    <w:p w14:paraId="3009A865" w14:textId="77777777" w:rsidR="008E4F9B" w:rsidRDefault="008E4F9B">
      <w:pPr>
        <w:pStyle w:val="a3"/>
        <w:ind w:left="0"/>
        <w:rPr>
          <w:rFonts w:hint="eastAsia"/>
          <w:sz w:val="20"/>
        </w:rPr>
      </w:pPr>
    </w:p>
    <w:p w14:paraId="7D8E0414" w14:textId="77777777" w:rsidR="008E4F9B" w:rsidRDefault="008E4F9B">
      <w:pPr>
        <w:pStyle w:val="a3"/>
        <w:ind w:left="0"/>
        <w:rPr>
          <w:rFonts w:hint="eastAsia"/>
          <w:sz w:val="20"/>
        </w:rPr>
      </w:pPr>
    </w:p>
    <w:p w14:paraId="4C3F67DB" w14:textId="77777777" w:rsidR="008E4F9B" w:rsidRDefault="008E4F9B">
      <w:pPr>
        <w:pStyle w:val="a3"/>
        <w:ind w:left="0"/>
        <w:rPr>
          <w:rFonts w:hint="eastAsia"/>
          <w:sz w:val="20"/>
        </w:rPr>
      </w:pPr>
    </w:p>
    <w:p w14:paraId="37800850" w14:textId="77777777" w:rsidR="008E4F9B" w:rsidRDefault="008E4F9B">
      <w:pPr>
        <w:pStyle w:val="a3"/>
        <w:ind w:left="0"/>
        <w:rPr>
          <w:rFonts w:hint="eastAsia"/>
          <w:sz w:val="20"/>
        </w:rPr>
      </w:pPr>
    </w:p>
    <w:p w14:paraId="45CBB10A" w14:textId="6E97B91E" w:rsidR="008E4F9B" w:rsidRPr="00F72818" w:rsidRDefault="00F72818" w:rsidP="00F72818">
      <w:pPr>
        <w:pStyle w:val="a3"/>
        <w:spacing w:before="12"/>
        <w:ind w:left="0"/>
        <w:jc w:val="center"/>
        <w:rPr>
          <w:rFonts w:hint="eastAsia"/>
          <w:b/>
          <w:bCs/>
          <w:sz w:val="23"/>
        </w:rPr>
      </w:pPr>
      <w:r w:rsidRPr="00F72818">
        <w:rPr>
          <w:rFonts w:hint="eastAsia"/>
          <w:b/>
          <w:bCs/>
          <w:sz w:val="44"/>
          <w:szCs w:val="56"/>
        </w:rPr>
        <w:t>药品注册申请审评期间变更工作程序</w:t>
      </w:r>
      <w:r>
        <w:rPr>
          <w:b/>
          <w:bCs/>
          <w:noProof/>
        </w:rPr>
        <w:br/>
      </w:r>
      <w:r w:rsidRPr="00F72818">
        <w:rPr>
          <w:rFonts w:hint="eastAsia"/>
          <w:b/>
          <w:bCs/>
          <w:sz w:val="44"/>
          <w:szCs w:val="56"/>
        </w:rPr>
        <w:t>(试行)</w:t>
      </w:r>
    </w:p>
    <w:p w14:paraId="3253AD84" w14:textId="77777777" w:rsidR="008E4F9B" w:rsidRDefault="008E4F9B">
      <w:pPr>
        <w:pStyle w:val="a3"/>
        <w:spacing w:before="12"/>
        <w:ind w:left="0"/>
        <w:rPr>
          <w:rFonts w:hint="eastAsia"/>
          <w:sz w:val="9"/>
        </w:rPr>
      </w:pPr>
    </w:p>
    <w:p w14:paraId="4F347579" w14:textId="77777777" w:rsidR="008E4F9B" w:rsidRDefault="008E4F9B">
      <w:pPr>
        <w:rPr>
          <w:rFonts w:hint="eastAsia"/>
          <w:sz w:val="9"/>
        </w:rPr>
        <w:sectPr w:rsidR="008E4F9B">
          <w:type w:val="continuous"/>
          <w:pgSz w:w="11910" w:h="16840"/>
          <w:pgMar w:top="1380" w:right="1520" w:bottom="280" w:left="1680" w:header="720" w:footer="720" w:gutter="0"/>
          <w:cols w:space="720"/>
        </w:sectPr>
      </w:pPr>
    </w:p>
    <w:p w14:paraId="2A8B789A" w14:textId="77777777" w:rsidR="008E4F9B" w:rsidRDefault="00000000">
      <w:pPr>
        <w:pStyle w:val="a3"/>
        <w:spacing w:before="29" w:line="364" w:lineRule="auto"/>
        <w:ind w:right="113" w:firstLine="638"/>
        <w:rPr>
          <w:rFonts w:hint="eastAsia"/>
        </w:rPr>
      </w:pPr>
      <w:r>
        <w:rPr>
          <w:spacing w:val="8"/>
        </w:rPr>
        <w:lastRenderedPageBreak/>
        <w:t>为规范药品注册申请审评期间的变更，保证药品的安</w:t>
      </w:r>
      <w:r>
        <w:t>全、有效和质量可控，根据《中华人民共和国药品管理法》</w:t>
      </w:r>
    </w:p>
    <w:p w14:paraId="439E7706" w14:textId="77777777" w:rsidR="008E4F9B" w:rsidRDefault="00000000">
      <w:pPr>
        <w:pStyle w:val="a3"/>
        <w:spacing w:before="2" w:line="364" w:lineRule="auto"/>
        <w:ind w:right="272"/>
        <w:jc w:val="both"/>
        <w:rPr>
          <w:rFonts w:hint="eastAsia"/>
        </w:rPr>
      </w:pPr>
      <w:r>
        <w:rPr>
          <w:spacing w:val="-13"/>
        </w:rPr>
        <w:t>《中华人民共和国疫苗管理法》《中华人民共和国药品管理</w:t>
      </w:r>
      <w:r>
        <w:rPr>
          <w:spacing w:val="-16"/>
        </w:rPr>
        <w:t>法实施条例》《药品注册管理办法》和《药品生产监督管理</w:t>
      </w:r>
      <w:r>
        <w:rPr>
          <w:spacing w:val="-2"/>
        </w:rPr>
        <w:t>办法》等法律法规规章制定本程序。</w:t>
      </w:r>
    </w:p>
    <w:p w14:paraId="3148FB2B" w14:textId="77777777" w:rsidR="008E4F9B" w:rsidRDefault="00000000">
      <w:pPr>
        <w:pStyle w:val="a3"/>
        <w:spacing w:before="56"/>
        <w:ind w:left="759"/>
        <w:rPr>
          <w:rFonts w:hint="eastAsia"/>
        </w:rPr>
      </w:pPr>
      <w:r>
        <w:rPr>
          <w:spacing w:val="-3"/>
        </w:rPr>
        <w:t>一、适用范围及基本要求</w:t>
      </w:r>
    </w:p>
    <w:p w14:paraId="57D8803A" w14:textId="77777777" w:rsidR="008E4F9B" w:rsidRDefault="00000000">
      <w:pPr>
        <w:pStyle w:val="a3"/>
        <w:spacing w:before="137" w:line="364" w:lineRule="auto"/>
        <w:ind w:right="256" w:firstLine="638"/>
        <w:jc w:val="both"/>
        <w:rPr>
          <w:rFonts w:hint="eastAsia"/>
        </w:rPr>
      </w:pPr>
      <w:r>
        <w:rPr>
          <w:spacing w:val="-2"/>
        </w:rPr>
        <w:t>（一）药品上市许可申请审评期间，发生可能影响药品安全性、有效性和质量可控性的重大变更的，申请人应当撤回原注册申请，补充研究后重新申报。药物临床试验申请、药品上市许可申请、补充申请和境外生产药品再注册申请等技术审评期间发生的其他变更适用于本程序。</w:t>
      </w:r>
    </w:p>
    <w:p w14:paraId="27BC2895" w14:textId="77777777" w:rsidR="008E4F9B" w:rsidRDefault="00000000">
      <w:pPr>
        <w:pStyle w:val="a3"/>
        <w:spacing w:before="5" w:line="364" w:lineRule="auto"/>
        <w:ind w:right="272" w:firstLine="638"/>
        <w:jc w:val="both"/>
        <w:rPr>
          <w:rFonts w:hint="eastAsia"/>
        </w:rPr>
      </w:pPr>
      <w:r>
        <w:rPr>
          <w:spacing w:val="-2"/>
        </w:rPr>
        <w:t>（二）为保证审评质量与效率，审评期间，申请人或药品上市许可持有人提出的变更，不应影响原申报事项的技术</w:t>
      </w:r>
      <w:r>
        <w:rPr>
          <w:spacing w:val="-4"/>
        </w:rPr>
        <w:t>审评。</w:t>
      </w:r>
    </w:p>
    <w:p w14:paraId="786DAB1A" w14:textId="77777777" w:rsidR="008E4F9B" w:rsidRDefault="00000000">
      <w:pPr>
        <w:pStyle w:val="a3"/>
        <w:spacing w:before="3" w:line="364" w:lineRule="auto"/>
        <w:ind w:right="277" w:firstLine="638"/>
        <w:rPr>
          <w:rFonts w:hint="eastAsia"/>
        </w:rPr>
      </w:pPr>
      <w:r>
        <w:rPr>
          <w:spacing w:val="-2"/>
        </w:rPr>
        <w:t>（三）药品上市注册申请审评期间确需发生变更的，鼓励申请人提前与药审中心沟通交流。</w:t>
      </w:r>
    </w:p>
    <w:p w14:paraId="2249EF85" w14:textId="77777777" w:rsidR="008E4F9B" w:rsidRDefault="00000000">
      <w:pPr>
        <w:pStyle w:val="a3"/>
        <w:spacing w:before="55"/>
        <w:ind w:left="759"/>
        <w:rPr>
          <w:rFonts w:hint="eastAsia"/>
        </w:rPr>
      </w:pPr>
      <w:r>
        <w:rPr>
          <w:spacing w:val="-11"/>
        </w:rPr>
        <w:t>二、 变更情形与工作程序</w:t>
      </w:r>
    </w:p>
    <w:p w14:paraId="09768A86" w14:textId="77777777" w:rsidR="008E4F9B" w:rsidRDefault="00000000">
      <w:pPr>
        <w:pStyle w:val="a3"/>
        <w:spacing w:before="137" w:line="364" w:lineRule="auto"/>
        <w:ind w:right="272" w:firstLine="638"/>
        <w:rPr>
          <w:rFonts w:hint="eastAsia"/>
        </w:rPr>
      </w:pPr>
      <w:r>
        <w:rPr>
          <w:spacing w:val="-2"/>
        </w:rPr>
        <w:t>（一）药物临床试验申请和临床试验期间的补充申请审评期间的变更</w:t>
      </w:r>
    </w:p>
    <w:p w14:paraId="23ACFBEA" w14:textId="77777777" w:rsidR="008E4F9B" w:rsidRDefault="00000000">
      <w:pPr>
        <w:pStyle w:val="a4"/>
        <w:numPr>
          <w:ilvl w:val="0"/>
          <w:numId w:val="2"/>
        </w:numPr>
        <w:tabs>
          <w:tab w:val="left" w:pos="1004"/>
        </w:tabs>
        <w:spacing w:line="364" w:lineRule="auto"/>
        <w:ind w:right="272" w:firstLine="638"/>
        <w:jc w:val="both"/>
        <w:rPr>
          <w:rFonts w:hint="eastAsia"/>
          <w:sz w:val="32"/>
        </w:rPr>
      </w:pPr>
      <w:r>
        <w:rPr>
          <w:spacing w:val="-10"/>
          <w:sz w:val="32"/>
        </w:rPr>
        <w:t>申请人名称变更</w:t>
      </w:r>
      <w:r>
        <w:rPr>
          <w:spacing w:val="-2"/>
          <w:sz w:val="32"/>
        </w:rPr>
        <w:t>（不包括主体变更</w:t>
      </w:r>
      <w:r>
        <w:rPr>
          <w:spacing w:val="-159"/>
          <w:sz w:val="32"/>
        </w:rPr>
        <w:t>）</w:t>
      </w:r>
      <w:r>
        <w:rPr>
          <w:spacing w:val="-2"/>
          <w:sz w:val="32"/>
        </w:rPr>
        <w:t>、注册地址变更和注册代理机构变更等不涉及技术审评内容的，申请人应在该申请的专业审评状态（申请人之窗品种审评进度的当前状态</w:t>
      </w:r>
    </w:p>
    <w:p w14:paraId="147FF65F" w14:textId="77777777" w:rsidR="008E4F9B" w:rsidRDefault="00000000">
      <w:pPr>
        <w:pStyle w:val="a3"/>
        <w:spacing w:before="49" w:line="364" w:lineRule="auto"/>
        <w:ind w:right="271"/>
        <w:jc w:val="both"/>
        <w:rPr>
          <w:rFonts w:hint="eastAsia"/>
        </w:rPr>
      </w:pPr>
      <w:r>
        <w:rPr>
          <w:spacing w:val="-2"/>
        </w:rPr>
        <w:lastRenderedPageBreak/>
        <w:t>显示为</w:t>
      </w:r>
      <w:r>
        <w:rPr>
          <w:rFonts w:ascii="Times New Roman" w:eastAsia="Times New Roman" w:hAnsi="Times New Roman"/>
          <w:spacing w:val="-2"/>
        </w:rPr>
        <w:t>“</w:t>
      </w:r>
      <w:r>
        <w:rPr>
          <w:spacing w:val="-2"/>
        </w:rPr>
        <w:t>专业审评中</w:t>
      </w:r>
      <w:r>
        <w:rPr>
          <w:rFonts w:ascii="Times New Roman" w:eastAsia="Times New Roman" w:hAnsi="Times New Roman"/>
          <w:spacing w:val="-2"/>
        </w:rPr>
        <w:t>”</w:t>
      </w:r>
      <w:r>
        <w:rPr>
          <w:spacing w:val="-2"/>
        </w:rPr>
        <w:t>）书面告知药审中心并提交相关证明性资料，如变更前后的营业执照等，并加盖申请人或注册代理机构的公章。</w:t>
      </w:r>
    </w:p>
    <w:p w14:paraId="0C1B4E71" w14:textId="77777777" w:rsidR="008E4F9B" w:rsidRDefault="00000000">
      <w:pPr>
        <w:pStyle w:val="a3"/>
        <w:spacing w:before="3" w:line="364" w:lineRule="auto"/>
        <w:ind w:right="272" w:firstLine="638"/>
        <w:jc w:val="both"/>
        <w:rPr>
          <w:rFonts w:hint="eastAsia"/>
        </w:rPr>
      </w:pPr>
      <w:r>
        <w:t>变更注册代理机构的还应当提交境外申请人解除原委</w:t>
      </w:r>
      <w:r>
        <w:rPr>
          <w:spacing w:val="-2"/>
        </w:rPr>
        <w:t>托代理注册关系的文书和新的委托文书，并提交公证文书和中文译文。</w:t>
      </w:r>
    </w:p>
    <w:p w14:paraId="0E9CF3CF" w14:textId="77777777" w:rsidR="008E4F9B" w:rsidRDefault="00000000">
      <w:pPr>
        <w:pStyle w:val="a4"/>
        <w:numPr>
          <w:ilvl w:val="0"/>
          <w:numId w:val="2"/>
        </w:numPr>
        <w:tabs>
          <w:tab w:val="left" w:pos="1005"/>
        </w:tabs>
        <w:spacing w:before="3" w:line="364" w:lineRule="auto"/>
        <w:ind w:firstLine="638"/>
        <w:rPr>
          <w:rFonts w:hint="eastAsia"/>
          <w:sz w:val="32"/>
        </w:rPr>
      </w:pPr>
      <w:r>
        <w:rPr>
          <w:spacing w:val="-2"/>
          <w:sz w:val="32"/>
        </w:rPr>
        <w:t>药物临床试验申请审评期间不接受申请人主体变更和涉及技术的变更。</w:t>
      </w:r>
    </w:p>
    <w:p w14:paraId="36420CDD" w14:textId="77777777" w:rsidR="008E4F9B" w:rsidRDefault="00000000">
      <w:pPr>
        <w:pStyle w:val="a3"/>
        <w:spacing w:before="2"/>
        <w:ind w:left="759"/>
        <w:rPr>
          <w:rFonts w:hint="eastAsia"/>
        </w:rPr>
      </w:pPr>
      <w:r>
        <w:rPr>
          <w:spacing w:val="-2"/>
        </w:rPr>
        <w:t>（二）</w:t>
      </w:r>
      <w:r>
        <w:rPr>
          <w:spacing w:val="-3"/>
        </w:rPr>
        <w:t>药品上市许可申请审评期间的变更</w:t>
      </w:r>
    </w:p>
    <w:p w14:paraId="1EF44AC3" w14:textId="77777777" w:rsidR="008E4F9B" w:rsidRDefault="00000000">
      <w:pPr>
        <w:pStyle w:val="a4"/>
        <w:numPr>
          <w:ilvl w:val="0"/>
          <w:numId w:val="1"/>
        </w:numPr>
        <w:tabs>
          <w:tab w:val="left" w:pos="1005"/>
        </w:tabs>
        <w:spacing w:before="214" w:line="364" w:lineRule="auto"/>
        <w:ind w:right="271" w:firstLine="638"/>
        <w:jc w:val="both"/>
        <w:rPr>
          <w:rFonts w:hint="eastAsia"/>
          <w:sz w:val="32"/>
        </w:rPr>
      </w:pPr>
      <w:r>
        <w:rPr>
          <w:spacing w:val="-2"/>
          <w:sz w:val="32"/>
        </w:rPr>
        <w:t>仅发生药品注册申请人主体变更的，受让方应当向药审中心提出补充申请。该申请与药品上市许可申请关联，一并送局审批，原上市许可申请审评时限不变。</w:t>
      </w:r>
    </w:p>
    <w:p w14:paraId="1CE4D177" w14:textId="77777777" w:rsidR="008E4F9B" w:rsidRDefault="00000000">
      <w:pPr>
        <w:pStyle w:val="a3"/>
        <w:spacing w:before="3" w:line="364" w:lineRule="auto"/>
        <w:ind w:right="272" w:firstLine="638"/>
        <w:jc w:val="both"/>
        <w:rPr>
          <w:rFonts w:hint="eastAsia"/>
        </w:rPr>
      </w:pPr>
      <w:r>
        <w:t>药品上市许可申请审评期间药品注册申请人主体发生</w:t>
      </w:r>
      <w:r>
        <w:rPr>
          <w:spacing w:val="-2"/>
        </w:rPr>
        <w:t>变更的，由变更后的申请人承担相应责任，并保证药品注册申报全过程信息真实、准确、完整和可追溯。</w:t>
      </w:r>
    </w:p>
    <w:p w14:paraId="114485AB" w14:textId="77777777" w:rsidR="008E4F9B" w:rsidRDefault="00000000">
      <w:pPr>
        <w:pStyle w:val="a3"/>
        <w:spacing w:before="3" w:line="364" w:lineRule="auto"/>
        <w:ind w:right="168" w:firstLine="638"/>
        <w:rPr>
          <w:rFonts w:hint="eastAsia"/>
        </w:rPr>
      </w:pPr>
      <w:r>
        <w:rPr>
          <w:spacing w:val="-2"/>
        </w:rPr>
        <w:t>申报资料参照《国家药监局关于发布〈药品上市后变更</w:t>
      </w:r>
      <w:r>
        <w:t>管理办法（试行</w:t>
      </w:r>
      <w:r>
        <w:rPr>
          <w:spacing w:val="-158"/>
        </w:rPr>
        <w:t>）</w:t>
      </w:r>
      <w:r>
        <w:rPr>
          <w:spacing w:val="-32"/>
        </w:rPr>
        <w:t>〉的公告》</w:t>
      </w:r>
      <w:r>
        <w:t>（</w:t>
      </w:r>
      <w:r>
        <w:rPr>
          <w:rFonts w:ascii="Times New Roman" w:eastAsia="Times New Roman" w:hAnsi="Times New Roman"/>
        </w:rPr>
        <w:t>2021</w:t>
      </w:r>
      <w:r>
        <w:rPr>
          <w:rFonts w:ascii="Times New Roman" w:eastAsia="Times New Roman" w:hAnsi="Times New Roman"/>
          <w:spacing w:val="-14"/>
        </w:rPr>
        <w:t xml:space="preserve"> </w:t>
      </w:r>
      <w:r>
        <w:rPr>
          <w:spacing w:val="-27"/>
        </w:rPr>
        <w:t xml:space="preserve">年第 </w:t>
      </w:r>
      <w:r>
        <w:rPr>
          <w:rFonts w:ascii="Times New Roman" w:eastAsia="Times New Roman" w:hAnsi="Times New Roman"/>
        </w:rPr>
        <w:t>8</w:t>
      </w:r>
      <w:r>
        <w:rPr>
          <w:rFonts w:ascii="Times New Roman" w:eastAsia="Times New Roman" w:hAnsi="Times New Roman"/>
          <w:spacing w:val="-6"/>
        </w:rPr>
        <w:t xml:space="preserve"> </w:t>
      </w:r>
      <w:r>
        <w:t>号）</w:t>
      </w:r>
      <w:r>
        <w:rPr>
          <w:spacing w:val="-26"/>
        </w:rPr>
        <w:t xml:space="preserve">附件 </w:t>
      </w:r>
      <w:r>
        <w:rPr>
          <w:rFonts w:ascii="Times New Roman" w:eastAsia="Times New Roman" w:hAnsi="Times New Roman"/>
        </w:rPr>
        <w:t>4</w:t>
      </w:r>
      <w:r>
        <w:rPr>
          <w:rFonts w:ascii="Times New Roman" w:eastAsia="Times New Roman" w:hAnsi="Times New Roman"/>
          <w:spacing w:val="-6"/>
        </w:rPr>
        <w:t xml:space="preserve"> </w:t>
      </w:r>
      <w:r>
        <w:t>整理，</w:t>
      </w:r>
      <w:r>
        <w:rPr>
          <w:spacing w:val="-2"/>
        </w:rPr>
        <w:t>对应项目无相关信息的可在项下注明</w:t>
      </w:r>
      <w:r>
        <w:rPr>
          <w:rFonts w:ascii="Times New Roman" w:eastAsia="Times New Roman" w:hAnsi="Times New Roman"/>
          <w:spacing w:val="-2"/>
        </w:rPr>
        <w:t>“</w:t>
      </w:r>
      <w:r>
        <w:rPr>
          <w:spacing w:val="-2"/>
        </w:rPr>
        <w:t>不适用</w:t>
      </w:r>
      <w:r>
        <w:rPr>
          <w:rFonts w:ascii="Times New Roman" w:eastAsia="Times New Roman" w:hAnsi="Times New Roman"/>
          <w:spacing w:val="-2"/>
        </w:rPr>
        <w:t>”</w:t>
      </w:r>
      <w:r>
        <w:rPr>
          <w:spacing w:val="-2"/>
        </w:rPr>
        <w:t>并说明理由。申报资料中还需包括变更前后的药品注册申请人填写的《药</w:t>
      </w:r>
      <w:r>
        <w:rPr>
          <w:spacing w:val="-16"/>
        </w:rPr>
        <w:t>品注册申请人变更确认书》</w:t>
      </w:r>
      <w:r>
        <w:rPr>
          <w:spacing w:val="-2"/>
        </w:rPr>
        <w:t>（见附件</w:t>
      </w:r>
      <w:r>
        <w:rPr>
          <w:spacing w:val="-159"/>
        </w:rPr>
        <w:t>）</w:t>
      </w:r>
      <w:r>
        <w:rPr>
          <w:spacing w:val="-2"/>
        </w:rPr>
        <w:t>。</w:t>
      </w:r>
    </w:p>
    <w:p w14:paraId="0CC8B6E2" w14:textId="77777777" w:rsidR="008E4F9B" w:rsidRDefault="00000000">
      <w:pPr>
        <w:pStyle w:val="a3"/>
        <w:spacing w:before="5" w:line="364" w:lineRule="auto"/>
        <w:ind w:right="269" w:firstLine="638"/>
        <w:rPr>
          <w:rFonts w:hint="eastAsia"/>
        </w:rPr>
      </w:pPr>
      <w:r>
        <w:rPr>
          <w:spacing w:val="-2"/>
        </w:rPr>
        <w:t>其中，境内生产的药品，还应当提交药品注册申请人和</w:t>
      </w:r>
      <w:r>
        <w:rPr>
          <w:spacing w:val="-5"/>
        </w:rPr>
        <w:t>生产企业相应的《药品生产许可证》及其变更记录页；境外</w:t>
      </w:r>
    </w:p>
    <w:p w14:paraId="6726AB53" w14:textId="77777777" w:rsidR="008E4F9B" w:rsidRDefault="00000000">
      <w:pPr>
        <w:pStyle w:val="a3"/>
        <w:spacing w:before="29" w:line="364" w:lineRule="auto"/>
        <w:ind w:right="272"/>
        <w:rPr>
          <w:rFonts w:hint="eastAsia"/>
        </w:rPr>
      </w:pPr>
      <w:r>
        <w:rPr>
          <w:spacing w:val="-2"/>
        </w:rPr>
        <w:lastRenderedPageBreak/>
        <w:t>生产的药品，还应当提交《药品注册申请人变更确认书》的公证、认证文书，并附中文译本。</w:t>
      </w:r>
    </w:p>
    <w:p w14:paraId="51876C10" w14:textId="77777777" w:rsidR="008E4F9B" w:rsidRDefault="00000000">
      <w:pPr>
        <w:pStyle w:val="a4"/>
        <w:numPr>
          <w:ilvl w:val="0"/>
          <w:numId w:val="1"/>
        </w:numPr>
        <w:tabs>
          <w:tab w:val="left" w:pos="1005"/>
        </w:tabs>
        <w:spacing w:line="364" w:lineRule="auto"/>
        <w:ind w:firstLine="638"/>
        <w:rPr>
          <w:rFonts w:hint="eastAsia"/>
          <w:sz w:val="32"/>
        </w:rPr>
      </w:pPr>
      <w:r>
        <w:rPr>
          <w:spacing w:val="-2"/>
          <w:sz w:val="32"/>
        </w:rPr>
        <w:t>发生技术变更的，其变更事项分类和技术要求参照已上市药品变更相关指导原则的要求执行。</w:t>
      </w:r>
    </w:p>
    <w:p w14:paraId="534984A4" w14:textId="77777777" w:rsidR="008E4F9B" w:rsidRDefault="00000000">
      <w:pPr>
        <w:pStyle w:val="a3"/>
        <w:spacing w:before="2" w:line="364" w:lineRule="auto"/>
        <w:ind w:right="258" w:firstLine="638"/>
        <w:jc w:val="right"/>
        <w:rPr>
          <w:rFonts w:hint="eastAsia"/>
        </w:rPr>
      </w:pPr>
      <w:r>
        <w:rPr>
          <w:spacing w:val="-2"/>
        </w:rPr>
        <w:t>发生可能影响药品安全性、有效性和质量可控性的重大变更，申请人应当撤回原注册申请，补充研究后重新申报。发生除重大变更以外的其他涉及技术的变更，申请人应</w:t>
      </w:r>
    </w:p>
    <w:p w14:paraId="467277D2" w14:textId="77777777" w:rsidR="008E4F9B" w:rsidRDefault="00000000">
      <w:pPr>
        <w:pStyle w:val="a3"/>
        <w:spacing w:before="3" w:line="364" w:lineRule="auto"/>
        <w:ind w:right="269"/>
        <w:jc w:val="both"/>
        <w:rPr>
          <w:rFonts w:hint="eastAsia"/>
        </w:rPr>
      </w:pPr>
      <w:r>
        <w:rPr>
          <w:spacing w:val="-2"/>
        </w:rPr>
        <w:t>当在原注册申请的专业审评状态提出补充申请，该补充申请与原注册申请关联审评。如提交的补充申请，经审评确认属于重大变更的，补充申请不予批准，同时申请人应当撤回原注册申请，补充研究后重新申报。</w:t>
      </w:r>
    </w:p>
    <w:p w14:paraId="306B90E0" w14:textId="77777777" w:rsidR="008E4F9B" w:rsidRDefault="00000000">
      <w:pPr>
        <w:pStyle w:val="a3"/>
        <w:spacing w:before="4" w:line="364" w:lineRule="auto"/>
        <w:ind w:right="277" w:firstLine="638"/>
        <w:rPr>
          <w:rFonts w:hint="eastAsia"/>
        </w:rPr>
      </w:pPr>
      <w:r>
        <w:rPr>
          <w:spacing w:val="-2"/>
        </w:rPr>
        <w:t>审评结论与申请人预期不符的，申请人可参照《药品注册审评结论异议解决程序（试行</w:t>
      </w:r>
      <w:r>
        <w:rPr>
          <w:spacing w:val="-164"/>
        </w:rPr>
        <w:t>）</w:t>
      </w:r>
      <w:r>
        <w:rPr>
          <w:spacing w:val="-2"/>
        </w:rPr>
        <w:t>》办理。</w:t>
      </w:r>
    </w:p>
    <w:p w14:paraId="29A1B632" w14:textId="77777777" w:rsidR="008E4F9B" w:rsidRDefault="00000000">
      <w:pPr>
        <w:pStyle w:val="a3"/>
        <w:spacing w:before="2" w:line="364" w:lineRule="auto"/>
        <w:ind w:right="272" w:firstLine="638"/>
        <w:rPr>
          <w:rFonts w:hint="eastAsia"/>
        </w:rPr>
      </w:pPr>
      <w:r>
        <w:rPr>
          <w:spacing w:val="-2"/>
        </w:rPr>
        <w:t>补充申请申报资料应参照已上市中药、化学药品以及生物制品变更事项及申报资料要求整理。</w:t>
      </w:r>
    </w:p>
    <w:p w14:paraId="3BD76751" w14:textId="77777777" w:rsidR="008E4F9B" w:rsidRDefault="00000000">
      <w:pPr>
        <w:pStyle w:val="a4"/>
        <w:numPr>
          <w:ilvl w:val="0"/>
          <w:numId w:val="1"/>
        </w:numPr>
        <w:tabs>
          <w:tab w:val="left" w:pos="1005"/>
        </w:tabs>
        <w:spacing w:line="364" w:lineRule="auto"/>
        <w:ind w:right="258" w:firstLine="638"/>
        <w:jc w:val="right"/>
        <w:rPr>
          <w:rFonts w:hint="eastAsia"/>
          <w:sz w:val="32"/>
        </w:rPr>
      </w:pPr>
      <w:r>
        <w:rPr>
          <w:spacing w:val="-2"/>
          <w:sz w:val="32"/>
        </w:rPr>
        <w:t>发生其他不涉及技术审评的药品注册批准证明文件及其附件载明信息变更的，申请人应当及时书面告知药审中心并提交相关证明性资料，如变更前后的营业执照、生产许可证及其变更记录页等，加盖申请人或注册代理机构的公章。</w:t>
      </w:r>
      <w:r>
        <w:rPr>
          <w:sz w:val="32"/>
        </w:rPr>
        <w:t>变更注册代理机构的还应当提交境外申请人解除原委</w:t>
      </w:r>
    </w:p>
    <w:p w14:paraId="51A36F62" w14:textId="77777777" w:rsidR="008E4F9B" w:rsidRDefault="00000000">
      <w:pPr>
        <w:pStyle w:val="a3"/>
        <w:spacing w:before="5" w:line="364" w:lineRule="auto"/>
        <w:ind w:right="272"/>
        <w:rPr>
          <w:rFonts w:hint="eastAsia"/>
        </w:rPr>
      </w:pPr>
      <w:r>
        <w:rPr>
          <w:spacing w:val="-2"/>
        </w:rPr>
        <w:t>托代理注册关系的文书和新的委托文书，并提交公证文书和中文译文。</w:t>
      </w:r>
    </w:p>
    <w:p w14:paraId="1DF8E9E1" w14:textId="77777777" w:rsidR="008E4F9B" w:rsidRDefault="00000000">
      <w:pPr>
        <w:pStyle w:val="a3"/>
        <w:spacing w:before="29" w:line="364" w:lineRule="auto"/>
        <w:ind w:right="272" w:firstLine="638"/>
        <w:rPr>
          <w:rFonts w:hint="eastAsia"/>
        </w:rPr>
      </w:pPr>
      <w:r>
        <w:rPr>
          <w:spacing w:val="-2"/>
        </w:rPr>
        <w:lastRenderedPageBreak/>
        <w:t>（三）上市后补充申请、境外生产药品再注册申请审评期间的变更</w:t>
      </w:r>
    </w:p>
    <w:p w14:paraId="71312830" w14:textId="77777777" w:rsidR="008E4F9B" w:rsidRDefault="00000000">
      <w:pPr>
        <w:pStyle w:val="a3"/>
        <w:spacing w:before="2" w:line="364" w:lineRule="auto"/>
        <w:ind w:right="272" w:firstLine="638"/>
        <w:rPr>
          <w:rFonts w:hint="eastAsia"/>
        </w:rPr>
      </w:pPr>
      <w:r>
        <w:rPr>
          <w:spacing w:val="-2"/>
        </w:rPr>
        <w:t>上市后补充申请、境外生产药品再注册申请审评期间的变更按照《药品上市后变更管理办法（试行</w:t>
      </w:r>
      <w:r>
        <w:rPr>
          <w:spacing w:val="-159"/>
        </w:rPr>
        <w:t>）</w:t>
      </w:r>
      <w:r>
        <w:rPr>
          <w:spacing w:val="-2"/>
        </w:rPr>
        <w:t>》执行。</w:t>
      </w:r>
    </w:p>
    <w:p w14:paraId="05DFB646" w14:textId="77777777" w:rsidR="008E4F9B" w:rsidRDefault="00000000">
      <w:pPr>
        <w:pStyle w:val="a3"/>
        <w:spacing w:before="2" w:line="364" w:lineRule="auto"/>
        <w:ind w:right="272" w:firstLine="638"/>
        <w:rPr>
          <w:rFonts w:hint="eastAsia"/>
        </w:rPr>
      </w:pPr>
      <w:r>
        <w:rPr>
          <w:spacing w:val="-2"/>
        </w:rPr>
        <w:t>审评期间申报补充申请的，申请人可在注册申请表特别声明事项中明确是否需要与在审品种关联审评。</w:t>
      </w:r>
    </w:p>
    <w:p w14:paraId="72604037" w14:textId="77777777" w:rsidR="008E4F9B" w:rsidRDefault="00000000">
      <w:pPr>
        <w:pStyle w:val="a3"/>
        <w:spacing w:before="55"/>
        <w:ind w:left="759"/>
        <w:rPr>
          <w:rFonts w:hint="eastAsia"/>
        </w:rPr>
      </w:pPr>
      <w:r>
        <w:rPr>
          <w:spacing w:val="-3"/>
        </w:rPr>
        <w:t>三、其他</w:t>
      </w:r>
    </w:p>
    <w:p w14:paraId="718C854C" w14:textId="77777777" w:rsidR="008E4F9B" w:rsidRDefault="00000000">
      <w:pPr>
        <w:pStyle w:val="a3"/>
        <w:spacing w:before="137" w:line="364" w:lineRule="auto"/>
        <w:ind w:right="173" w:firstLine="638"/>
        <w:rPr>
          <w:rFonts w:hint="eastAsia"/>
        </w:rPr>
      </w:pPr>
      <w:r>
        <w:rPr>
          <w:spacing w:val="-2"/>
        </w:rPr>
        <w:t>（一）审评期间的补充申请收费标准参照《国家药监局</w:t>
      </w:r>
      <w:r>
        <w:rPr>
          <w:spacing w:val="-10"/>
        </w:rPr>
        <w:t>关于重新发布药品注册收费标准的公告》</w:t>
      </w:r>
      <w:r>
        <w:t>（</w:t>
      </w:r>
      <w:r>
        <w:rPr>
          <w:rFonts w:ascii="Times New Roman" w:eastAsia="Times New Roman"/>
        </w:rPr>
        <w:t>2020</w:t>
      </w:r>
      <w:r>
        <w:rPr>
          <w:rFonts w:ascii="Times New Roman" w:eastAsia="Times New Roman"/>
          <w:spacing w:val="-14"/>
        </w:rPr>
        <w:t xml:space="preserve"> </w:t>
      </w:r>
      <w:r>
        <w:rPr>
          <w:spacing w:val="-26"/>
        </w:rPr>
        <w:t xml:space="preserve">年第 </w:t>
      </w:r>
      <w:r>
        <w:rPr>
          <w:rFonts w:ascii="Times New Roman" w:eastAsia="Times New Roman"/>
        </w:rPr>
        <w:t>75</w:t>
      </w:r>
      <w:r>
        <w:rPr>
          <w:rFonts w:ascii="Times New Roman" w:eastAsia="Times New Roman"/>
          <w:spacing w:val="-8"/>
        </w:rPr>
        <w:t xml:space="preserve"> </w:t>
      </w:r>
      <w:r>
        <w:t>号）</w:t>
      </w:r>
      <w:r>
        <w:rPr>
          <w:spacing w:val="-2"/>
        </w:rPr>
        <w:t>等要求执行。</w:t>
      </w:r>
    </w:p>
    <w:p w14:paraId="36E2B69C" w14:textId="77777777" w:rsidR="008E4F9B" w:rsidRDefault="00000000">
      <w:pPr>
        <w:pStyle w:val="a3"/>
        <w:spacing w:before="3" w:line="364" w:lineRule="auto"/>
        <w:ind w:right="272" w:firstLine="638"/>
        <w:jc w:val="both"/>
        <w:rPr>
          <w:rFonts w:hint="eastAsia"/>
        </w:rPr>
      </w:pPr>
      <w:r>
        <w:rPr>
          <w:spacing w:val="-2"/>
        </w:rPr>
        <w:t>（二）上市申请审评过程中发生生产场地变更，申请人需根据场地变更对制剂的影响进行评估，引起的关联变更情形按照相关指导原则进行判断。</w:t>
      </w:r>
    </w:p>
    <w:p w14:paraId="32845E35" w14:textId="77777777" w:rsidR="008E4F9B" w:rsidRDefault="00000000">
      <w:pPr>
        <w:pStyle w:val="a3"/>
        <w:spacing w:before="3" w:line="364" w:lineRule="auto"/>
        <w:ind w:right="272" w:firstLine="638"/>
        <w:rPr>
          <w:rFonts w:hint="eastAsia"/>
        </w:rPr>
      </w:pPr>
      <w:r>
        <w:rPr>
          <w:spacing w:val="-2"/>
        </w:rPr>
        <w:t>（三）品种关联后，关联的品种审评时限保持一致，以剩余时限较多的申请计。</w:t>
      </w:r>
    </w:p>
    <w:p w14:paraId="1B1EE16F" w14:textId="77777777" w:rsidR="008E4F9B" w:rsidRDefault="00000000">
      <w:pPr>
        <w:pStyle w:val="a3"/>
        <w:spacing w:before="2" w:line="364" w:lineRule="auto"/>
        <w:ind w:right="272" w:firstLine="638"/>
        <w:rPr>
          <w:rFonts w:hint="eastAsia"/>
        </w:rPr>
      </w:pPr>
      <w:r>
        <w:rPr>
          <w:spacing w:val="-2"/>
        </w:rPr>
        <w:t>（四）原料药在审评期间的变更参照制剂变更的相关要</w:t>
      </w:r>
      <w:r>
        <w:rPr>
          <w:spacing w:val="-4"/>
        </w:rPr>
        <w:t>求管理。</w:t>
      </w:r>
    </w:p>
    <w:p w14:paraId="0ABB326C" w14:textId="77777777" w:rsidR="008E4F9B" w:rsidRDefault="00000000">
      <w:pPr>
        <w:pStyle w:val="a3"/>
        <w:spacing w:before="2" w:line="364" w:lineRule="auto"/>
        <w:ind w:right="277" w:firstLine="638"/>
        <w:rPr>
          <w:rFonts w:hint="eastAsia"/>
        </w:rPr>
      </w:pPr>
      <w:r>
        <w:rPr>
          <w:spacing w:val="-2"/>
        </w:rPr>
        <w:t>（五）对于可来函告知的变更事项，申请人可书面来函或在申请人之窗电子提交公文。</w:t>
      </w:r>
    </w:p>
    <w:p w14:paraId="4A8A1D92" w14:textId="77777777" w:rsidR="008E4F9B" w:rsidRDefault="00000000">
      <w:pPr>
        <w:pStyle w:val="a3"/>
        <w:spacing w:before="2" w:line="364" w:lineRule="auto"/>
        <w:ind w:right="274" w:firstLine="638"/>
        <w:rPr>
          <w:rFonts w:hint="eastAsia"/>
        </w:rPr>
      </w:pPr>
      <w:r>
        <w:rPr>
          <w:spacing w:val="-2"/>
        </w:rPr>
        <w:t>（六</w:t>
      </w:r>
      <w:r>
        <w:rPr>
          <w:spacing w:val="-53"/>
        </w:rPr>
        <w:t>）</w:t>
      </w:r>
      <w:r>
        <w:rPr>
          <w:spacing w:val="-7"/>
        </w:rPr>
        <w:t>在药品注册申请审评阶段，申请人</w:t>
      </w:r>
      <w:r>
        <w:rPr>
          <w:rFonts w:ascii="Times New Roman" w:eastAsia="Times New Roman"/>
          <w:spacing w:val="-2"/>
        </w:rPr>
        <w:t>/</w:t>
      </w:r>
      <w:r>
        <w:rPr>
          <w:spacing w:val="-2"/>
        </w:rPr>
        <w:t>持有人可在专业审评状态提交稳定性研究数据。</w:t>
      </w:r>
    </w:p>
    <w:p w14:paraId="2F9D36B1" w14:textId="77777777" w:rsidR="008E4F9B" w:rsidRDefault="00000000">
      <w:pPr>
        <w:pStyle w:val="a3"/>
        <w:spacing w:before="2"/>
        <w:ind w:left="759"/>
        <w:rPr>
          <w:rFonts w:hint="eastAsia"/>
        </w:rPr>
      </w:pPr>
      <w:r>
        <w:rPr>
          <w:spacing w:val="-2"/>
        </w:rPr>
        <w:t>（七）</w:t>
      </w:r>
      <w:r>
        <w:rPr>
          <w:spacing w:val="-3"/>
        </w:rPr>
        <w:t>本工作程序自发布之日起施行。</w:t>
      </w:r>
    </w:p>
    <w:p w14:paraId="0CE228C8" w14:textId="77777777" w:rsidR="008E4F9B" w:rsidRDefault="00000000">
      <w:pPr>
        <w:pStyle w:val="a3"/>
        <w:spacing w:before="29"/>
        <w:ind w:left="759"/>
        <w:rPr>
          <w:rFonts w:hint="eastAsia"/>
        </w:rPr>
      </w:pPr>
      <w:r>
        <w:rPr>
          <w:spacing w:val="-3"/>
        </w:rPr>
        <w:lastRenderedPageBreak/>
        <w:t>附：药品注册申请人变更确认书</w:t>
      </w:r>
    </w:p>
    <w:p w14:paraId="5B43334E" w14:textId="77777777" w:rsidR="008E4F9B" w:rsidRPr="00D95CD4" w:rsidRDefault="008E4F9B">
      <w:pPr>
        <w:rPr>
          <w:rFonts w:hint="eastAsia"/>
        </w:rPr>
        <w:sectPr w:rsidR="008E4F9B" w:rsidRPr="00D95CD4">
          <w:footerReference w:type="default" r:id="rId7"/>
          <w:pgSz w:w="11910" w:h="16840"/>
          <w:pgMar w:top="1500" w:right="1520" w:bottom="1400" w:left="1680" w:header="0" w:footer="1201" w:gutter="0"/>
          <w:cols w:space="720"/>
        </w:sectPr>
      </w:pPr>
    </w:p>
    <w:p w14:paraId="3C142F72" w14:textId="77777777" w:rsidR="008E4F9B" w:rsidRDefault="00000000">
      <w:pPr>
        <w:pStyle w:val="a3"/>
        <w:spacing w:before="29"/>
        <w:rPr>
          <w:rFonts w:hint="eastAsia"/>
        </w:rPr>
      </w:pPr>
      <w:r>
        <w:lastRenderedPageBreak/>
        <w:t>附</w:t>
      </w:r>
    </w:p>
    <w:p w14:paraId="6D6D08C5" w14:textId="77777777" w:rsidR="008E4F9B" w:rsidRDefault="008E4F9B">
      <w:pPr>
        <w:pStyle w:val="a3"/>
        <w:ind w:left="0"/>
        <w:rPr>
          <w:rFonts w:hint="eastAsia"/>
          <w:sz w:val="20"/>
        </w:rPr>
      </w:pPr>
    </w:p>
    <w:p w14:paraId="0AF65E0A" w14:textId="77777777" w:rsidR="008E4F9B" w:rsidRDefault="008E4F9B">
      <w:pPr>
        <w:pStyle w:val="a3"/>
        <w:ind w:left="0"/>
        <w:rPr>
          <w:rFonts w:hint="eastAsia"/>
          <w:sz w:val="20"/>
        </w:rPr>
      </w:pPr>
    </w:p>
    <w:p w14:paraId="28824B79" w14:textId="660FBF18" w:rsidR="008E4F9B" w:rsidRDefault="008E4F9B">
      <w:pPr>
        <w:pStyle w:val="a3"/>
        <w:spacing w:before="7"/>
        <w:ind w:left="0"/>
        <w:rPr>
          <w:rFonts w:hint="eastAsia"/>
          <w:sz w:val="21"/>
        </w:rPr>
      </w:pPr>
    </w:p>
    <w:p w14:paraId="29963062" w14:textId="4F2553E1" w:rsidR="008E4F9B" w:rsidRDefault="00524881" w:rsidP="00524881">
      <w:pPr>
        <w:pStyle w:val="a3"/>
        <w:ind w:left="0"/>
        <w:jc w:val="center"/>
        <w:rPr>
          <w:rFonts w:hint="eastAsia"/>
          <w:sz w:val="20"/>
        </w:rPr>
      </w:pPr>
      <w:r>
        <w:rPr>
          <w:rFonts w:hint="eastAsia"/>
          <w:b/>
          <w:bCs/>
          <w:sz w:val="44"/>
          <w:szCs w:val="56"/>
        </w:rPr>
        <w:t>药品注册申请人变更确认书</w:t>
      </w:r>
    </w:p>
    <w:p w14:paraId="01CAE7C3" w14:textId="77777777" w:rsidR="008E4F9B" w:rsidRDefault="008E4F9B">
      <w:pPr>
        <w:pStyle w:val="a3"/>
        <w:ind w:left="0"/>
        <w:rPr>
          <w:rFonts w:hint="eastAsia"/>
          <w:sz w:val="20"/>
        </w:rPr>
      </w:pPr>
    </w:p>
    <w:p w14:paraId="6029D43E" w14:textId="77777777" w:rsidR="008E4F9B" w:rsidRDefault="008E4F9B">
      <w:pPr>
        <w:pStyle w:val="a3"/>
        <w:spacing w:before="5"/>
        <w:ind w:left="0"/>
        <w:rPr>
          <w:rFonts w:hint="eastAsia"/>
          <w:sz w:val="19"/>
        </w:rPr>
      </w:pPr>
    </w:p>
    <w:p w14:paraId="3FC03567" w14:textId="77777777" w:rsidR="008E4F9B" w:rsidRDefault="00000000">
      <w:pPr>
        <w:pStyle w:val="a3"/>
        <w:spacing w:before="57"/>
        <w:rPr>
          <w:rFonts w:hint="eastAsia"/>
        </w:rPr>
      </w:pPr>
      <w:r>
        <w:rPr>
          <w:spacing w:val="-3"/>
        </w:rPr>
        <w:t>国家药品监督管理局：</w:t>
      </w:r>
    </w:p>
    <w:p w14:paraId="4BCD89F5" w14:textId="77777777" w:rsidR="008E4F9B" w:rsidRDefault="00000000">
      <w:pPr>
        <w:pStyle w:val="a3"/>
        <w:tabs>
          <w:tab w:val="left" w:pos="4442"/>
          <w:tab w:val="left" w:pos="7486"/>
        </w:tabs>
        <w:spacing w:before="214" w:line="364" w:lineRule="auto"/>
        <w:ind w:right="109" w:firstLine="638"/>
        <w:rPr>
          <w:rFonts w:hint="eastAsia"/>
        </w:rPr>
      </w:pPr>
      <w:r>
        <w:t>对于药品上市许可申请</w:t>
      </w:r>
      <w:r>
        <w:rPr>
          <w:u w:val="single"/>
        </w:rPr>
        <w:t>（药品名称）</w:t>
      </w:r>
      <w:r>
        <w:t xml:space="preserve"> （ </w:t>
      </w:r>
      <w:r>
        <w:rPr>
          <w:u w:val="single"/>
        </w:rPr>
        <w:t xml:space="preserve">受理号 </w:t>
      </w:r>
      <w:r>
        <w:rPr>
          <w:spacing w:val="-159"/>
        </w:rPr>
        <w:t>）</w:t>
      </w:r>
      <w:r>
        <w:rPr>
          <w:spacing w:val="-5"/>
        </w:rPr>
        <w:t>，</w:t>
      </w:r>
      <w:r>
        <w:t>药</w:t>
      </w:r>
      <w:r>
        <w:rPr>
          <w:spacing w:val="-2"/>
        </w:rPr>
        <w:t>品注册申请人由</w:t>
      </w:r>
      <w:r>
        <w:rPr>
          <w:rFonts w:ascii="Times New Roman" w:eastAsia="Times New Roman"/>
          <w:u w:val="single"/>
        </w:rPr>
        <w:tab/>
      </w:r>
      <w:r>
        <w:rPr>
          <w:spacing w:val="-4"/>
        </w:rPr>
        <w:t>变更为</w:t>
      </w:r>
      <w:r>
        <w:rPr>
          <w:rFonts w:ascii="Times New Roman" w:eastAsia="Times New Roman"/>
          <w:u w:val="single"/>
        </w:rPr>
        <w:tab/>
      </w:r>
      <w:r>
        <w:rPr>
          <w:spacing w:val="-4"/>
        </w:rPr>
        <w:t>。变更</w:t>
      </w:r>
      <w:r>
        <w:rPr>
          <w:spacing w:val="-2"/>
        </w:rPr>
        <w:t>后的申请人承担相应责任，并保证药品注册申报全过程信息真实</w:t>
      </w:r>
      <w:r>
        <w:rPr>
          <w:spacing w:val="-58"/>
        </w:rPr>
        <w:t>、</w:t>
      </w:r>
      <w:r>
        <w:rPr>
          <w:spacing w:val="-2"/>
        </w:rPr>
        <w:t>准确</w:t>
      </w:r>
      <w:r>
        <w:rPr>
          <w:spacing w:val="-63"/>
        </w:rPr>
        <w:t>、</w:t>
      </w:r>
      <w:r>
        <w:rPr>
          <w:spacing w:val="-2"/>
        </w:rPr>
        <w:t>完整和可追溯</w:t>
      </w:r>
      <w:r>
        <w:rPr>
          <w:spacing w:val="-58"/>
        </w:rPr>
        <w:t>。</w:t>
      </w:r>
      <w:r>
        <w:rPr>
          <w:spacing w:val="-2"/>
        </w:rPr>
        <w:t>药品上市许可申请获得批准后，变更后的注册申请人为上市许可持有人。</w:t>
      </w:r>
    </w:p>
    <w:p w14:paraId="2732582B" w14:textId="77777777" w:rsidR="008E4F9B" w:rsidRDefault="008E4F9B">
      <w:pPr>
        <w:pStyle w:val="a3"/>
        <w:ind w:left="0"/>
        <w:rPr>
          <w:rFonts w:hint="eastAsia"/>
        </w:rPr>
      </w:pPr>
    </w:p>
    <w:p w14:paraId="516D2D21" w14:textId="77777777" w:rsidR="008E4F9B" w:rsidRDefault="00000000">
      <w:pPr>
        <w:pStyle w:val="a3"/>
        <w:spacing w:before="219"/>
        <w:ind w:left="0" w:right="2565"/>
        <w:jc w:val="right"/>
        <w:rPr>
          <w:rFonts w:hint="eastAsia"/>
        </w:rPr>
      </w:pPr>
      <w:r>
        <w:rPr>
          <w:spacing w:val="-2"/>
        </w:rPr>
        <w:t>变更前</w:t>
      </w:r>
      <w:r>
        <w:rPr>
          <w:rFonts w:ascii="Times New Roman" w:eastAsia="Times New Roman"/>
          <w:spacing w:val="-2"/>
        </w:rPr>
        <w:t>/</w:t>
      </w:r>
      <w:r>
        <w:rPr>
          <w:spacing w:val="-3"/>
        </w:rPr>
        <w:t>后的药品注册申请人：</w:t>
      </w:r>
    </w:p>
    <w:p w14:paraId="64693E14" w14:textId="77777777" w:rsidR="008E4F9B" w:rsidRDefault="00000000">
      <w:pPr>
        <w:pStyle w:val="a3"/>
        <w:spacing w:before="214"/>
        <w:ind w:left="3323"/>
        <w:rPr>
          <w:rFonts w:hint="eastAsia"/>
        </w:rPr>
      </w:pPr>
      <w:r>
        <w:rPr>
          <w:spacing w:val="-2"/>
        </w:rPr>
        <w:t>（法定代表人签字或加盖公章</w:t>
      </w:r>
      <w:r>
        <w:rPr>
          <w:spacing w:val="-10"/>
        </w:rPr>
        <w:t>）</w:t>
      </w:r>
    </w:p>
    <w:p w14:paraId="347F5F1B" w14:textId="77777777" w:rsidR="008E4F9B" w:rsidRDefault="00000000">
      <w:pPr>
        <w:pStyle w:val="a3"/>
        <w:spacing w:before="214"/>
        <w:ind w:left="0" w:right="2492"/>
        <w:jc w:val="right"/>
        <w:rPr>
          <w:rFonts w:hint="eastAsia"/>
        </w:rPr>
      </w:pPr>
      <w:r>
        <w:rPr>
          <w:spacing w:val="-4"/>
        </w:rPr>
        <w:t>日期：</w:t>
      </w:r>
    </w:p>
    <w:sectPr w:rsidR="008E4F9B">
      <w:pgSz w:w="11910" w:h="16840"/>
      <w:pgMar w:top="1500" w:right="1520" w:bottom="1400" w:left="1680" w:header="0" w:footer="12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EE101" w14:textId="77777777" w:rsidR="00715B9D" w:rsidRDefault="00715B9D">
      <w:pPr>
        <w:rPr>
          <w:rFonts w:hint="eastAsia"/>
        </w:rPr>
      </w:pPr>
      <w:r>
        <w:separator/>
      </w:r>
    </w:p>
  </w:endnote>
  <w:endnote w:type="continuationSeparator" w:id="0">
    <w:p w14:paraId="24592F02" w14:textId="77777777" w:rsidR="00715B9D" w:rsidRDefault="00715B9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AAF3D" w14:textId="77777777" w:rsidR="008E4F9B" w:rsidRDefault="00000000">
    <w:pPr>
      <w:pStyle w:val="a3"/>
      <w:spacing w:line="14" w:lineRule="auto"/>
      <w:ind w:left="0"/>
      <w:rPr>
        <w:rFonts w:hint="eastAsia"/>
        <w:sz w:val="20"/>
      </w:rPr>
    </w:pPr>
    <w:r>
      <w:rPr>
        <w:rFonts w:hint="eastAsia"/>
      </w:rPr>
      <w:pict w14:anchorId="6726E864">
        <v:shapetype id="_x0000_t202" coordsize="21600,21600" o:spt="202" path="m,l,21600r21600,l21600,xe">
          <v:stroke joinstyle="miter"/>
          <v:path gradientshapeok="t" o:connecttype="rect"/>
        </v:shapetype>
        <v:shape id="docshape1" o:spid="_x0000_s1025" type="#_x0000_t202" style="position:absolute;margin-left:292.3pt;margin-top:770.85pt;width:11.6pt;height:12.1pt;z-index:-251658752;mso-position-horizontal-relative:page;mso-position-vertical-relative:page" filled="f" stroked="f">
          <v:textbox inset="0,0,0,0">
            <w:txbxContent>
              <w:p w14:paraId="5AAE2E47" w14:textId="77777777" w:rsidR="008E4F9B" w:rsidRDefault="00000000">
                <w:pPr>
                  <w:spacing w:before="14"/>
                  <w:ind w:left="60"/>
                  <w:rPr>
                    <w:rFonts w:ascii="Times New Roman" w:hint="eastAsia"/>
                    <w:sz w:val="18"/>
                  </w:rPr>
                </w:pPr>
                <w:r>
                  <w:rPr>
                    <w:rFonts w:ascii="Times New Roman"/>
                    <w:w w:val="101"/>
                    <w:sz w:val="18"/>
                  </w:rPr>
                  <w:fldChar w:fldCharType="begin"/>
                </w:r>
                <w:r>
                  <w:rPr>
                    <w:rFonts w:ascii="Times New Roman"/>
                    <w:w w:val="101"/>
                    <w:sz w:val="18"/>
                  </w:rPr>
                  <w:instrText xml:space="preserve"> PAGE </w:instrText>
                </w:r>
                <w:r>
                  <w:rPr>
                    <w:rFonts w:ascii="Times New Roman"/>
                    <w:w w:val="101"/>
                    <w:sz w:val="18"/>
                  </w:rPr>
                  <w:fldChar w:fldCharType="separate"/>
                </w:r>
                <w:r>
                  <w:rPr>
                    <w:rFonts w:ascii="Times New Roman"/>
                    <w:w w:val="101"/>
                    <w:sz w:val="18"/>
                  </w:rPr>
                  <w:t>2</w:t>
                </w:r>
                <w:r>
                  <w:rPr>
                    <w:rFonts w:ascii="Times New Roman"/>
                    <w:w w:val="101"/>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E9F58" w14:textId="77777777" w:rsidR="00715B9D" w:rsidRDefault="00715B9D">
      <w:pPr>
        <w:rPr>
          <w:rFonts w:hint="eastAsia"/>
        </w:rPr>
      </w:pPr>
      <w:r>
        <w:separator/>
      </w:r>
    </w:p>
  </w:footnote>
  <w:footnote w:type="continuationSeparator" w:id="0">
    <w:p w14:paraId="1A3F948E" w14:textId="77777777" w:rsidR="00715B9D" w:rsidRDefault="00715B9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5211B5"/>
    <w:multiLevelType w:val="hybridMultilevel"/>
    <w:tmpl w:val="E69C6E96"/>
    <w:lvl w:ilvl="0" w:tplc="FCAC0332">
      <w:start w:val="1"/>
      <w:numFmt w:val="decimal"/>
      <w:lvlText w:val="%1."/>
      <w:lvlJc w:val="left"/>
      <w:pPr>
        <w:ind w:left="120" w:hanging="245"/>
        <w:jc w:val="left"/>
      </w:pPr>
      <w:rPr>
        <w:rFonts w:ascii="Times New Roman" w:eastAsia="Times New Roman" w:hAnsi="Times New Roman" w:cs="Times New Roman" w:hint="default"/>
        <w:b w:val="0"/>
        <w:bCs w:val="0"/>
        <w:i w:val="0"/>
        <w:iCs w:val="0"/>
        <w:spacing w:val="1"/>
        <w:w w:val="100"/>
        <w:sz w:val="30"/>
        <w:szCs w:val="30"/>
        <w:lang w:val="en-US" w:eastAsia="zh-CN" w:bidi="ar-SA"/>
      </w:rPr>
    </w:lvl>
    <w:lvl w:ilvl="1" w:tplc="0B92647E">
      <w:numFmt w:val="bullet"/>
      <w:lvlText w:val="•"/>
      <w:lvlJc w:val="left"/>
      <w:pPr>
        <w:ind w:left="978" w:hanging="245"/>
      </w:pPr>
      <w:rPr>
        <w:rFonts w:hint="default"/>
        <w:lang w:val="en-US" w:eastAsia="zh-CN" w:bidi="ar-SA"/>
      </w:rPr>
    </w:lvl>
    <w:lvl w:ilvl="2" w:tplc="A04067E6">
      <w:numFmt w:val="bullet"/>
      <w:lvlText w:val="•"/>
      <w:lvlJc w:val="left"/>
      <w:pPr>
        <w:ind w:left="1836" w:hanging="245"/>
      </w:pPr>
      <w:rPr>
        <w:rFonts w:hint="default"/>
        <w:lang w:val="en-US" w:eastAsia="zh-CN" w:bidi="ar-SA"/>
      </w:rPr>
    </w:lvl>
    <w:lvl w:ilvl="3" w:tplc="721E84A8">
      <w:numFmt w:val="bullet"/>
      <w:lvlText w:val="•"/>
      <w:lvlJc w:val="left"/>
      <w:pPr>
        <w:ind w:left="2695" w:hanging="245"/>
      </w:pPr>
      <w:rPr>
        <w:rFonts w:hint="default"/>
        <w:lang w:val="en-US" w:eastAsia="zh-CN" w:bidi="ar-SA"/>
      </w:rPr>
    </w:lvl>
    <w:lvl w:ilvl="4" w:tplc="A9E09412">
      <w:numFmt w:val="bullet"/>
      <w:lvlText w:val="•"/>
      <w:lvlJc w:val="left"/>
      <w:pPr>
        <w:ind w:left="3553" w:hanging="245"/>
      </w:pPr>
      <w:rPr>
        <w:rFonts w:hint="default"/>
        <w:lang w:val="en-US" w:eastAsia="zh-CN" w:bidi="ar-SA"/>
      </w:rPr>
    </w:lvl>
    <w:lvl w:ilvl="5" w:tplc="042C8AA6">
      <w:numFmt w:val="bullet"/>
      <w:lvlText w:val="•"/>
      <w:lvlJc w:val="left"/>
      <w:pPr>
        <w:ind w:left="4412" w:hanging="245"/>
      </w:pPr>
      <w:rPr>
        <w:rFonts w:hint="default"/>
        <w:lang w:val="en-US" w:eastAsia="zh-CN" w:bidi="ar-SA"/>
      </w:rPr>
    </w:lvl>
    <w:lvl w:ilvl="6" w:tplc="62E6B02C">
      <w:numFmt w:val="bullet"/>
      <w:lvlText w:val="•"/>
      <w:lvlJc w:val="left"/>
      <w:pPr>
        <w:ind w:left="5270" w:hanging="245"/>
      </w:pPr>
      <w:rPr>
        <w:rFonts w:hint="default"/>
        <w:lang w:val="en-US" w:eastAsia="zh-CN" w:bidi="ar-SA"/>
      </w:rPr>
    </w:lvl>
    <w:lvl w:ilvl="7" w:tplc="0DB8AE86">
      <w:numFmt w:val="bullet"/>
      <w:lvlText w:val="•"/>
      <w:lvlJc w:val="left"/>
      <w:pPr>
        <w:ind w:left="6128" w:hanging="245"/>
      </w:pPr>
      <w:rPr>
        <w:rFonts w:hint="default"/>
        <w:lang w:val="en-US" w:eastAsia="zh-CN" w:bidi="ar-SA"/>
      </w:rPr>
    </w:lvl>
    <w:lvl w:ilvl="8" w:tplc="BD5C22F2">
      <w:numFmt w:val="bullet"/>
      <w:lvlText w:val="•"/>
      <w:lvlJc w:val="left"/>
      <w:pPr>
        <w:ind w:left="6987" w:hanging="245"/>
      </w:pPr>
      <w:rPr>
        <w:rFonts w:hint="default"/>
        <w:lang w:val="en-US" w:eastAsia="zh-CN" w:bidi="ar-SA"/>
      </w:rPr>
    </w:lvl>
  </w:abstractNum>
  <w:abstractNum w:abstractNumId="1" w15:restartNumberingAfterBreak="0">
    <w:nsid w:val="565F35BC"/>
    <w:multiLevelType w:val="hybridMultilevel"/>
    <w:tmpl w:val="5F0CB974"/>
    <w:lvl w:ilvl="0" w:tplc="4E98A61A">
      <w:start w:val="1"/>
      <w:numFmt w:val="decimal"/>
      <w:lvlText w:val="%1."/>
      <w:lvlJc w:val="left"/>
      <w:pPr>
        <w:ind w:left="120" w:hanging="245"/>
        <w:jc w:val="left"/>
      </w:pPr>
      <w:rPr>
        <w:rFonts w:ascii="Times New Roman" w:eastAsia="Times New Roman" w:hAnsi="Times New Roman" w:cs="Times New Roman" w:hint="default"/>
        <w:b w:val="0"/>
        <w:bCs w:val="0"/>
        <w:i w:val="0"/>
        <w:iCs w:val="0"/>
        <w:spacing w:val="-4"/>
        <w:w w:val="100"/>
        <w:sz w:val="30"/>
        <w:szCs w:val="30"/>
        <w:lang w:val="en-US" w:eastAsia="zh-CN" w:bidi="ar-SA"/>
      </w:rPr>
    </w:lvl>
    <w:lvl w:ilvl="1" w:tplc="D87C9736">
      <w:numFmt w:val="bullet"/>
      <w:lvlText w:val="•"/>
      <w:lvlJc w:val="left"/>
      <w:pPr>
        <w:ind w:left="978" w:hanging="245"/>
      </w:pPr>
      <w:rPr>
        <w:rFonts w:hint="default"/>
        <w:lang w:val="en-US" w:eastAsia="zh-CN" w:bidi="ar-SA"/>
      </w:rPr>
    </w:lvl>
    <w:lvl w:ilvl="2" w:tplc="8F622304">
      <w:numFmt w:val="bullet"/>
      <w:lvlText w:val="•"/>
      <w:lvlJc w:val="left"/>
      <w:pPr>
        <w:ind w:left="1836" w:hanging="245"/>
      </w:pPr>
      <w:rPr>
        <w:rFonts w:hint="default"/>
        <w:lang w:val="en-US" w:eastAsia="zh-CN" w:bidi="ar-SA"/>
      </w:rPr>
    </w:lvl>
    <w:lvl w:ilvl="3" w:tplc="DDC099EA">
      <w:numFmt w:val="bullet"/>
      <w:lvlText w:val="•"/>
      <w:lvlJc w:val="left"/>
      <w:pPr>
        <w:ind w:left="2695" w:hanging="245"/>
      </w:pPr>
      <w:rPr>
        <w:rFonts w:hint="default"/>
        <w:lang w:val="en-US" w:eastAsia="zh-CN" w:bidi="ar-SA"/>
      </w:rPr>
    </w:lvl>
    <w:lvl w:ilvl="4" w:tplc="31B0AA0C">
      <w:numFmt w:val="bullet"/>
      <w:lvlText w:val="•"/>
      <w:lvlJc w:val="left"/>
      <w:pPr>
        <w:ind w:left="3553" w:hanging="245"/>
      </w:pPr>
      <w:rPr>
        <w:rFonts w:hint="default"/>
        <w:lang w:val="en-US" w:eastAsia="zh-CN" w:bidi="ar-SA"/>
      </w:rPr>
    </w:lvl>
    <w:lvl w:ilvl="5" w:tplc="34AC3834">
      <w:numFmt w:val="bullet"/>
      <w:lvlText w:val="•"/>
      <w:lvlJc w:val="left"/>
      <w:pPr>
        <w:ind w:left="4412" w:hanging="245"/>
      </w:pPr>
      <w:rPr>
        <w:rFonts w:hint="default"/>
        <w:lang w:val="en-US" w:eastAsia="zh-CN" w:bidi="ar-SA"/>
      </w:rPr>
    </w:lvl>
    <w:lvl w:ilvl="6" w:tplc="9FA641CE">
      <w:numFmt w:val="bullet"/>
      <w:lvlText w:val="•"/>
      <w:lvlJc w:val="left"/>
      <w:pPr>
        <w:ind w:left="5270" w:hanging="245"/>
      </w:pPr>
      <w:rPr>
        <w:rFonts w:hint="default"/>
        <w:lang w:val="en-US" w:eastAsia="zh-CN" w:bidi="ar-SA"/>
      </w:rPr>
    </w:lvl>
    <w:lvl w:ilvl="7" w:tplc="F41C945A">
      <w:numFmt w:val="bullet"/>
      <w:lvlText w:val="•"/>
      <w:lvlJc w:val="left"/>
      <w:pPr>
        <w:ind w:left="6128" w:hanging="245"/>
      </w:pPr>
      <w:rPr>
        <w:rFonts w:hint="default"/>
        <w:lang w:val="en-US" w:eastAsia="zh-CN" w:bidi="ar-SA"/>
      </w:rPr>
    </w:lvl>
    <w:lvl w:ilvl="8" w:tplc="A67681EC">
      <w:numFmt w:val="bullet"/>
      <w:lvlText w:val="•"/>
      <w:lvlJc w:val="left"/>
      <w:pPr>
        <w:ind w:left="6987" w:hanging="245"/>
      </w:pPr>
      <w:rPr>
        <w:rFonts w:hint="default"/>
        <w:lang w:val="en-US" w:eastAsia="zh-CN" w:bidi="ar-SA"/>
      </w:rPr>
    </w:lvl>
  </w:abstractNum>
  <w:num w:numId="1" w16cid:durableId="838421487">
    <w:abstractNumId w:val="0"/>
  </w:num>
  <w:num w:numId="2" w16cid:durableId="625816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E4F9B"/>
    <w:rsid w:val="003649E9"/>
    <w:rsid w:val="00524881"/>
    <w:rsid w:val="00715B9D"/>
    <w:rsid w:val="008E4F9B"/>
    <w:rsid w:val="00D95CD4"/>
    <w:rsid w:val="00F72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31D24"/>
  <w15:docId w15:val="{6FFBEEA2-0115-4156-A463-FA92422F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0"/>
    </w:pPr>
    <w:rPr>
      <w:sz w:val="32"/>
      <w:szCs w:val="32"/>
    </w:rPr>
  </w:style>
  <w:style w:type="paragraph" w:styleId="a4">
    <w:name w:val="List Paragraph"/>
    <w:basedOn w:val="a"/>
    <w:uiPriority w:val="1"/>
    <w:qFormat/>
    <w:pPr>
      <w:spacing w:before="2"/>
      <w:ind w:left="120" w:right="273" w:firstLine="638"/>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《党风廉政建设责任制考核和</dc:title>
  <dc:creator>wangmin</dc:creator>
  <cp:lastModifiedBy>ME</cp:lastModifiedBy>
  <cp:revision>4</cp:revision>
  <dcterms:created xsi:type="dcterms:W3CDTF">2024-08-10T06:38:00Z</dcterms:created>
  <dcterms:modified xsi:type="dcterms:W3CDTF">2024-08-10T06:41:00Z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2022-11-11T00:00:00Z</vt:filetime>
  </property>
  <property fmtid="{D5CDD505-2E9C-101B-9397-08002B2CF9AE}" pid="3" name="Creator">
    <vt:lpwstr>Microsoft® Word 2016</vt:lpwstr>
  </property>
  <property fmtid="{D5CDD505-2E9C-101B-9397-08002B2CF9AE}" pid="4" name="LastSaved">
    <vt:filetime>2024-08-10T00:00:00Z</vt:filetime>
  </property>
</Properties>
</file>