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7C72F6" w14:textId="067059A5" w:rsidR="00CE2BBF" w:rsidRPr="00B01140" w:rsidRDefault="00CE2BBF" w:rsidP="00CE2BBF">
      <w:pPr>
        <w:rPr>
          <w:rFonts w:ascii="黑体" w:eastAsia="黑体" w:hAnsi="黑体" w:hint="eastAsia"/>
          <w:sz w:val="28"/>
          <w:szCs w:val="28"/>
        </w:rPr>
      </w:pPr>
      <w:r w:rsidRPr="00CE2BBF">
        <w:rPr>
          <w:rFonts w:ascii="黑体" w:eastAsia="黑体" w:hAnsi="黑体" w:hint="eastAsia"/>
          <w:sz w:val="28"/>
          <w:szCs w:val="28"/>
        </w:rPr>
        <w:t>附件</w:t>
      </w:r>
      <w:r w:rsidR="00974D0E">
        <w:rPr>
          <w:rFonts w:ascii="黑体" w:eastAsia="黑体" w:hAnsi="黑体" w:hint="eastAsia"/>
          <w:sz w:val="28"/>
          <w:szCs w:val="28"/>
        </w:rPr>
        <w:t>4</w:t>
      </w:r>
      <w:r w:rsidRPr="00CE2BBF">
        <w:rPr>
          <w:rFonts w:ascii="黑体" w:eastAsia="黑体" w:hAnsi="黑体" w:hint="eastAsia"/>
          <w:sz w:val="28"/>
          <w:szCs w:val="28"/>
        </w:rPr>
        <w:t>：</w:t>
      </w:r>
    </w:p>
    <w:p w14:paraId="12E405C5" w14:textId="0EEFC292" w:rsidR="00CE2BBF" w:rsidRPr="00CE2BBF" w:rsidRDefault="00974D0E" w:rsidP="0024154D">
      <w:pPr>
        <w:spacing w:beforeLines="50" w:before="156" w:afterLines="50" w:after="156" w:line="360" w:lineRule="auto"/>
        <w:jc w:val="center"/>
        <w:rPr>
          <w:rFonts w:ascii="黑体" w:eastAsia="黑体" w:hAnsi="黑体" w:hint="eastAsia"/>
          <w:sz w:val="48"/>
          <w:szCs w:val="48"/>
        </w:rPr>
      </w:pPr>
      <w:proofErr w:type="gramStart"/>
      <w:r w:rsidRPr="00974D0E">
        <w:rPr>
          <w:rFonts w:ascii="黑体" w:eastAsia="黑体" w:hAnsi="黑体" w:hint="eastAsia"/>
          <w:sz w:val="48"/>
          <w:szCs w:val="48"/>
        </w:rPr>
        <w:t>药包材再注册</w:t>
      </w:r>
      <w:proofErr w:type="gramEnd"/>
      <w:r w:rsidRPr="00974D0E">
        <w:rPr>
          <w:rFonts w:ascii="黑体" w:eastAsia="黑体" w:hAnsi="黑体" w:hint="eastAsia"/>
          <w:sz w:val="48"/>
          <w:szCs w:val="48"/>
        </w:rPr>
        <w:t>申请资料要求</w:t>
      </w:r>
    </w:p>
    <w:p w14:paraId="13253293" w14:textId="77777777" w:rsidR="00974D0E" w:rsidRPr="00974D0E" w:rsidRDefault="00974D0E" w:rsidP="00974D0E">
      <w:pPr>
        <w:rPr>
          <w:rFonts w:ascii="微软雅黑" w:eastAsia="微软雅黑" w:hAnsi="微软雅黑" w:hint="eastAsia"/>
          <w:b/>
          <w:bCs/>
          <w:sz w:val="32"/>
          <w:szCs w:val="32"/>
        </w:rPr>
      </w:pPr>
      <w:r w:rsidRPr="00974D0E">
        <w:rPr>
          <w:rFonts w:ascii="微软雅黑" w:eastAsia="微软雅黑" w:hAnsi="微软雅黑" w:hint="eastAsia"/>
          <w:b/>
          <w:bCs/>
          <w:sz w:val="32"/>
          <w:szCs w:val="32"/>
        </w:rPr>
        <w:t>一、生产</w:t>
      </w:r>
      <w:proofErr w:type="gramStart"/>
      <w:r w:rsidRPr="00974D0E">
        <w:rPr>
          <w:rFonts w:ascii="微软雅黑" w:eastAsia="微软雅黑" w:hAnsi="微软雅黑" w:hint="eastAsia"/>
          <w:b/>
          <w:bCs/>
          <w:sz w:val="32"/>
          <w:szCs w:val="32"/>
        </w:rPr>
        <w:t>药包材再注册</w:t>
      </w:r>
      <w:proofErr w:type="gramEnd"/>
      <w:r w:rsidRPr="00974D0E">
        <w:rPr>
          <w:rFonts w:ascii="微软雅黑" w:eastAsia="微软雅黑" w:hAnsi="微软雅黑" w:hint="eastAsia"/>
          <w:b/>
          <w:bCs/>
          <w:sz w:val="32"/>
          <w:szCs w:val="32"/>
        </w:rPr>
        <w:t>申请资料要求</w:t>
      </w:r>
    </w:p>
    <w:p w14:paraId="6D9CD9D8" w14:textId="266D61CC" w:rsidR="00974D0E" w:rsidRPr="001A7A8F" w:rsidRDefault="00974D0E" w:rsidP="00974D0E">
      <w:pPr>
        <w:rPr>
          <w:rFonts w:ascii="楷体" w:eastAsia="楷体" w:hAnsi="楷体" w:hint="eastAsia"/>
          <w:b/>
          <w:bCs/>
          <w:sz w:val="32"/>
          <w:szCs w:val="32"/>
        </w:rPr>
      </w:pPr>
      <w:r w:rsidRPr="001A7A8F">
        <w:rPr>
          <w:rFonts w:ascii="楷体" w:eastAsia="楷体" w:hAnsi="楷体" w:hint="eastAsia"/>
          <w:b/>
          <w:bCs/>
          <w:sz w:val="32"/>
          <w:szCs w:val="32"/>
        </w:rPr>
        <w:t>（一）申报资料目录</w:t>
      </w:r>
    </w:p>
    <w:p w14:paraId="76C3A3C1" w14:textId="4D4D9A56"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1.我局颁发的药包</w:t>
      </w:r>
      <w:proofErr w:type="gramStart"/>
      <w:r w:rsidRPr="00974D0E">
        <w:rPr>
          <w:rFonts w:ascii="微软雅黑" w:eastAsia="微软雅黑" w:hAnsi="微软雅黑" w:hint="eastAsia"/>
          <w:sz w:val="32"/>
          <w:szCs w:val="32"/>
        </w:rPr>
        <w:t>材批准</w:t>
      </w:r>
      <w:proofErr w:type="gramEnd"/>
      <w:r w:rsidRPr="00974D0E">
        <w:rPr>
          <w:rFonts w:ascii="微软雅黑" w:eastAsia="微软雅黑" w:hAnsi="微软雅黑" w:hint="eastAsia"/>
          <w:sz w:val="32"/>
          <w:szCs w:val="32"/>
        </w:rPr>
        <w:t>证明文件及其批准变更证明文件。</w:t>
      </w:r>
    </w:p>
    <w:p w14:paraId="7AC9F4B9" w14:textId="3526BD2B"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2.申请人合法登记证明文件。</w:t>
      </w:r>
    </w:p>
    <w:p w14:paraId="11ECF8A7" w14:textId="2A33F1FD"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3.国家食品药品监督管理局设置或者确定的药包材检验机构出具的三批申报产品质量检测报告书。</w:t>
      </w:r>
    </w:p>
    <w:p w14:paraId="1E16D7CC" w14:textId="25D748CF"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4.国家食品药品监督管理局设置或者确定的药包</w:t>
      </w:r>
      <w:proofErr w:type="gramStart"/>
      <w:r w:rsidRPr="00974D0E">
        <w:rPr>
          <w:rFonts w:ascii="微软雅黑" w:eastAsia="微软雅黑" w:hAnsi="微软雅黑" w:hint="eastAsia"/>
          <w:sz w:val="32"/>
          <w:szCs w:val="32"/>
        </w:rPr>
        <w:t>材或者</w:t>
      </w:r>
      <w:proofErr w:type="gramEnd"/>
      <w:r w:rsidRPr="00974D0E">
        <w:rPr>
          <w:rFonts w:ascii="微软雅黑" w:eastAsia="微软雅黑" w:hAnsi="微软雅黑" w:hint="eastAsia"/>
          <w:sz w:val="32"/>
          <w:szCs w:val="32"/>
        </w:rPr>
        <w:t>药品检验机构出具的洁净室（区）洁净度检测报告书。</w:t>
      </w:r>
    </w:p>
    <w:p w14:paraId="509FD42A" w14:textId="4F10F521"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5.申报产品的配方。</w:t>
      </w:r>
    </w:p>
    <w:p w14:paraId="4441D633" w14:textId="5898DB36"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6.申报产品的生产工艺及主要生产、检验设备说明。</w:t>
      </w:r>
    </w:p>
    <w:p w14:paraId="57A80290" w14:textId="7B1E99DB"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7.申报产品的质量标准。</w:t>
      </w:r>
    </w:p>
    <w:p w14:paraId="6EA52251" w14:textId="60014E55"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8.三批申报产品的生产企业自检报告书。</w:t>
      </w:r>
    </w:p>
    <w:p w14:paraId="56CA14C5" w14:textId="2D2702C0"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9.该产品五年内销售及质量情况的总结报告。</w:t>
      </w:r>
    </w:p>
    <w:p w14:paraId="03E08BC7" w14:textId="4CA13A7E"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10.批准该产品注册或者再注册时，要求继续完成的工作的执行情况。</w:t>
      </w:r>
    </w:p>
    <w:p w14:paraId="509467BF" w14:textId="604DDD32" w:rsidR="00974D0E" w:rsidRPr="001A7A8F" w:rsidRDefault="00974D0E" w:rsidP="00974D0E">
      <w:pPr>
        <w:rPr>
          <w:rFonts w:ascii="楷体" w:eastAsia="楷体" w:hAnsi="楷体" w:hint="eastAsia"/>
          <w:b/>
          <w:bCs/>
          <w:sz w:val="32"/>
          <w:szCs w:val="32"/>
        </w:rPr>
      </w:pPr>
      <w:r w:rsidRPr="001A7A8F">
        <w:rPr>
          <w:rFonts w:ascii="楷体" w:eastAsia="楷体" w:hAnsi="楷体" w:hint="eastAsia"/>
          <w:b/>
          <w:bCs/>
          <w:sz w:val="32"/>
          <w:szCs w:val="32"/>
        </w:rPr>
        <w:t>（二）申报要求</w:t>
      </w:r>
    </w:p>
    <w:p w14:paraId="4F2DB0EC" w14:textId="262BB6CF"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1.上述第（一）、（二）项资料，可以提供复印件。</w:t>
      </w:r>
    </w:p>
    <w:p w14:paraId="5A8319DB" w14:textId="7610EF66"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2.上述第（三）、（四）项资料，应当提供原件。</w:t>
      </w:r>
    </w:p>
    <w:p w14:paraId="465B997D" w14:textId="02BD11D9"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3.上述第（五）、（六）项资料，若与上次注册内容相比有所</w:t>
      </w:r>
      <w:r w:rsidRPr="00974D0E">
        <w:rPr>
          <w:rFonts w:ascii="微软雅黑" w:eastAsia="微软雅黑" w:hAnsi="微软雅黑" w:hint="eastAsia"/>
          <w:sz w:val="32"/>
          <w:szCs w:val="32"/>
        </w:rPr>
        <w:lastRenderedPageBreak/>
        <w:t>改变，应当指出具体改变的内容。</w:t>
      </w:r>
    </w:p>
    <w:p w14:paraId="2CC11193" w14:textId="2A6253A0"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4.上述第（七）项资料，再注册时对质量标准进行修订的，应当同时提供原质量标准、修订后的质量标准及修订说明。</w:t>
      </w:r>
    </w:p>
    <w:p w14:paraId="7FE97697" w14:textId="192EF7E6"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5.上述第（八）项资料，应当提交距申报日期一年内的检验报告书原件。</w:t>
      </w:r>
    </w:p>
    <w:p w14:paraId="13414BFF" w14:textId="39E8E3B5"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6.上述第（九）项资料，应当包括年销售量、使用本产品的药品生产企业及所包装药品品种目录、用户对本品使用评价、质量检验情况、药包材生产企业对产品自检合格率、有无质量事故及官方质量抽检等情况。</w:t>
      </w:r>
    </w:p>
    <w:p w14:paraId="52903379" w14:textId="36747697" w:rsidR="00974D0E" w:rsidRPr="00974D0E" w:rsidRDefault="00974D0E" w:rsidP="00974D0E">
      <w:pPr>
        <w:rPr>
          <w:rFonts w:ascii="微软雅黑" w:eastAsia="微软雅黑" w:hAnsi="微软雅黑" w:hint="eastAsia"/>
          <w:b/>
          <w:bCs/>
          <w:sz w:val="32"/>
          <w:szCs w:val="32"/>
        </w:rPr>
      </w:pPr>
      <w:r w:rsidRPr="00974D0E">
        <w:rPr>
          <w:rFonts w:ascii="微软雅黑" w:eastAsia="微软雅黑" w:hAnsi="微软雅黑" w:hint="eastAsia"/>
          <w:b/>
          <w:bCs/>
          <w:sz w:val="32"/>
          <w:szCs w:val="32"/>
        </w:rPr>
        <w:t>二、进口</w:t>
      </w:r>
      <w:proofErr w:type="gramStart"/>
      <w:r w:rsidRPr="00974D0E">
        <w:rPr>
          <w:rFonts w:ascii="微软雅黑" w:eastAsia="微软雅黑" w:hAnsi="微软雅黑" w:hint="eastAsia"/>
          <w:b/>
          <w:bCs/>
          <w:sz w:val="32"/>
          <w:szCs w:val="32"/>
        </w:rPr>
        <w:t>药包材再注册</w:t>
      </w:r>
      <w:proofErr w:type="gramEnd"/>
      <w:r w:rsidRPr="00974D0E">
        <w:rPr>
          <w:rFonts w:ascii="微软雅黑" w:eastAsia="微软雅黑" w:hAnsi="微软雅黑" w:hint="eastAsia"/>
          <w:b/>
          <w:bCs/>
          <w:sz w:val="32"/>
          <w:szCs w:val="32"/>
        </w:rPr>
        <w:t>申请资料要求</w:t>
      </w:r>
    </w:p>
    <w:p w14:paraId="679E5A79" w14:textId="2CF63E8C" w:rsidR="00974D0E" w:rsidRPr="001A7A8F" w:rsidRDefault="00974D0E" w:rsidP="00974D0E">
      <w:pPr>
        <w:rPr>
          <w:rFonts w:ascii="楷体" w:eastAsia="楷体" w:hAnsi="楷体" w:hint="eastAsia"/>
          <w:b/>
          <w:bCs/>
          <w:sz w:val="32"/>
          <w:szCs w:val="32"/>
        </w:rPr>
      </w:pPr>
      <w:r w:rsidRPr="001A7A8F">
        <w:rPr>
          <w:rFonts w:ascii="楷体" w:eastAsia="楷体" w:hAnsi="楷体" w:hint="eastAsia"/>
          <w:b/>
          <w:bCs/>
          <w:sz w:val="32"/>
          <w:szCs w:val="32"/>
        </w:rPr>
        <w:t>（一）申报资料目录</w:t>
      </w:r>
    </w:p>
    <w:p w14:paraId="7C43BC67" w14:textId="7DCA4378"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1.我局颁发的药包</w:t>
      </w:r>
      <w:proofErr w:type="gramStart"/>
      <w:r w:rsidRPr="00974D0E">
        <w:rPr>
          <w:rFonts w:ascii="微软雅黑" w:eastAsia="微软雅黑" w:hAnsi="微软雅黑" w:hint="eastAsia"/>
          <w:sz w:val="32"/>
          <w:szCs w:val="32"/>
        </w:rPr>
        <w:t>材批准</w:t>
      </w:r>
      <w:proofErr w:type="gramEnd"/>
      <w:r w:rsidRPr="00974D0E">
        <w:rPr>
          <w:rFonts w:ascii="微软雅黑" w:eastAsia="微软雅黑" w:hAnsi="微软雅黑" w:hint="eastAsia"/>
          <w:sz w:val="32"/>
          <w:szCs w:val="32"/>
        </w:rPr>
        <w:t>证明文件及其批准变更证明文件。</w:t>
      </w:r>
    </w:p>
    <w:p w14:paraId="00447EAC" w14:textId="538B3ECA"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2.生产者合法生产资格证明文件、公证文件及其中文译文。</w:t>
      </w:r>
    </w:p>
    <w:p w14:paraId="7805657E" w14:textId="1FF4B050"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3.申报产品生产厂商委托中国境内代理机构申报的授权文书、公证文件及其中文译文。中国境内代理机构的工商执照或者申报产品生产厂商常驻中国境内办事机构的《外国企业常驻中国代表机构登记证》。</w:t>
      </w:r>
    </w:p>
    <w:p w14:paraId="43A6F664" w14:textId="091CBA3E"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4.国家食品药品监督管理局设置或者确定的药包材检验机构出具的三批申报产品质量检验报告书。</w:t>
      </w:r>
    </w:p>
    <w:p w14:paraId="04583F64" w14:textId="2E219373"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5.洁净室（区）洁净度检验报告及三批产品自检报告书。</w:t>
      </w:r>
    </w:p>
    <w:p w14:paraId="2173B556" w14:textId="59225BB9"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6.申报产品的配方。</w:t>
      </w:r>
    </w:p>
    <w:p w14:paraId="7F2B91BB" w14:textId="1625A3D9"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7.申报产品的生产工艺及主要生产、检验设备说明。</w:t>
      </w:r>
    </w:p>
    <w:p w14:paraId="41E59A0C" w14:textId="3D0B74EE"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lastRenderedPageBreak/>
        <w:t>8.申报产品的质量标准。</w:t>
      </w:r>
    </w:p>
    <w:p w14:paraId="43D7391F" w14:textId="7B9191AB"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9.该产品三年内在中国销售及质量情况的总结报告。</w:t>
      </w:r>
    </w:p>
    <w:p w14:paraId="36571DA6" w14:textId="1A8E4AB4"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10.批准该产品注册或者再注册时，要求继续完成的工作的执行情况。</w:t>
      </w:r>
    </w:p>
    <w:p w14:paraId="2D4BE9F9" w14:textId="5FD49F59" w:rsidR="00974D0E" w:rsidRPr="001A7A8F" w:rsidRDefault="00974D0E" w:rsidP="00974D0E">
      <w:pPr>
        <w:rPr>
          <w:rFonts w:ascii="楷体" w:eastAsia="楷体" w:hAnsi="楷体" w:hint="eastAsia"/>
          <w:b/>
          <w:bCs/>
          <w:sz w:val="32"/>
          <w:szCs w:val="32"/>
        </w:rPr>
      </w:pPr>
      <w:r w:rsidRPr="001A7A8F">
        <w:rPr>
          <w:rFonts w:ascii="楷体" w:eastAsia="楷体" w:hAnsi="楷体" w:hint="eastAsia"/>
          <w:b/>
          <w:bCs/>
          <w:sz w:val="32"/>
          <w:szCs w:val="32"/>
        </w:rPr>
        <w:t>（二）申报要求</w:t>
      </w:r>
    </w:p>
    <w:p w14:paraId="5C3E810E" w14:textId="7AF20FDE"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1.上述第（一）项资料，可以提供复印件。</w:t>
      </w:r>
    </w:p>
    <w:p w14:paraId="79B21F11" w14:textId="33579F20"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2.上述第（二）项资料，申请人应当提交由原产国政府部门批准其从事药包材生产和经营的证明文件复印件（相当于我国的工商营业执照、生产许可证或者注册证书等）、公证文件原件。其中：</w:t>
      </w:r>
    </w:p>
    <w:p w14:paraId="6CE1F26F" w14:textId="4380629F"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（1）凡原产国政府对药包材在本国上市进行专门审批的，必须提供此类批准证明文件。</w:t>
      </w:r>
    </w:p>
    <w:p w14:paraId="348F198C" w14:textId="2F5438FE"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（2）凡原产国政府规定无须办理上述专门批准件的，在如实说明后，可免于提供此项资料。</w:t>
      </w:r>
    </w:p>
    <w:p w14:paraId="0DECDBDD" w14:textId="4D1B29D6"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3.上述第（三）项资料，申报产品生产厂商授权中国境内代理机构代理申报的授权文书、公证文件均需提供原件；中国境内代理机构的工商执照或者申报产品生产厂商常驻中国境内办事机构的《外国企业常驻中国代表机构登记证》可以提供复印件。</w:t>
      </w:r>
    </w:p>
    <w:p w14:paraId="7C5609A9" w14:textId="2620CE1C"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4.上述第（四）项资料，应当提供原件。</w:t>
      </w:r>
    </w:p>
    <w:p w14:paraId="01DF0AFE" w14:textId="538FDA11"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5.上述第（五）项资料，应当提交申报日期一年内的检验报告原件。</w:t>
      </w:r>
    </w:p>
    <w:p w14:paraId="1B2A89AA" w14:textId="50ADAC78"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lastRenderedPageBreak/>
        <w:t>6.上述第（六）、（七）项资料，若与上次注册内容相比有所改变，应当指出具体改变的内容。</w:t>
      </w:r>
    </w:p>
    <w:p w14:paraId="164C2C8A" w14:textId="31BE5FD2"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7.上述第（八）项资料，再注册时对质量标准进行修订的，应当同时提供原质量标准、修订后的质量标准及修订说明。</w:t>
      </w:r>
    </w:p>
    <w:p w14:paraId="7E5F2B0C" w14:textId="6F6EC82A" w:rsidR="00974D0E" w:rsidRPr="00974D0E" w:rsidRDefault="00974D0E" w:rsidP="00974D0E">
      <w:pPr>
        <w:rPr>
          <w:rFonts w:ascii="微软雅黑" w:eastAsia="微软雅黑" w:hAnsi="微软雅黑" w:hint="eastAsia"/>
          <w:sz w:val="32"/>
          <w:szCs w:val="32"/>
        </w:rPr>
      </w:pPr>
      <w:r w:rsidRPr="00974D0E">
        <w:rPr>
          <w:rFonts w:ascii="微软雅黑" w:eastAsia="微软雅黑" w:hAnsi="微软雅黑" w:hint="eastAsia"/>
          <w:sz w:val="32"/>
          <w:szCs w:val="32"/>
        </w:rPr>
        <w:t>8.上述第（九）项资料，应当包括在中国的年销售量、使用本品的药品生产企业及所包装药品品种目录、用户对本产品使用评价、质量检验情况、药包材生产企业对本产品自检合格率、有无质量事故及政府质量抽检等情况。</w:t>
      </w:r>
    </w:p>
    <w:p w14:paraId="461617A8" w14:textId="0801DB0A" w:rsidR="00285573" w:rsidRPr="00CE2BBF" w:rsidRDefault="00974D0E" w:rsidP="00974D0E">
      <w:pPr>
        <w:rPr>
          <w:rFonts w:ascii="宋体" w:eastAsia="宋体" w:hAnsi="宋体" w:hint="eastAsia"/>
          <w:sz w:val="32"/>
          <w:szCs w:val="32"/>
        </w:rPr>
      </w:pPr>
      <w:r w:rsidRPr="00974D0E">
        <w:rPr>
          <w:rFonts w:ascii="微软雅黑" w:eastAsia="微软雅黑" w:hAnsi="微软雅黑" w:hint="eastAsia"/>
          <w:sz w:val="32"/>
          <w:szCs w:val="32"/>
        </w:rPr>
        <w:t>9.全部申报资料均应使用中文并附英文，其他文种的资料可附后作为参考。中文译文应当与原文内容一致。</w:t>
      </w:r>
    </w:p>
    <w:sectPr w:rsidR="00285573" w:rsidRPr="00CE2BB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51BC5"/>
    <w:rsid w:val="000D338E"/>
    <w:rsid w:val="001A7A8F"/>
    <w:rsid w:val="0024154D"/>
    <w:rsid w:val="00285573"/>
    <w:rsid w:val="003070FB"/>
    <w:rsid w:val="004013BF"/>
    <w:rsid w:val="00707008"/>
    <w:rsid w:val="007D7FF4"/>
    <w:rsid w:val="00821210"/>
    <w:rsid w:val="00916AC6"/>
    <w:rsid w:val="00951BC5"/>
    <w:rsid w:val="00974D0E"/>
    <w:rsid w:val="009B6467"/>
    <w:rsid w:val="00B01140"/>
    <w:rsid w:val="00CE2BBF"/>
    <w:rsid w:val="00EE6C59"/>
    <w:rsid w:val="00F14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7DCE7"/>
  <w15:chartTrackingRefBased/>
  <w15:docId w15:val="{654D7F08-27BC-4735-B849-314669023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51BC5"/>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951BC5"/>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951BC5"/>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951BC5"/>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951BC5"/>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951BC5"/>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951BC5"/>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51BC5"/>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51BC5"/>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51BC5"/>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951BC5"/>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951BC5"/>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951BC5"/>
    <w:rPr>
      <w:rFonts w:cstheme="majorBidi"/>
      <w:color w:val="0F4761" w:themeColor="accent1" w:themeShade="BF"/>
      <w:sz w:val="28"/>
      <w:szCs w:val="28"/>
    </w:rPr>
  </w:style>
  <w:style w:type="character" w:customStyle="1" w:styleId="50">
    <w:name w:val="标题 5 字符"/>
    <w:basedOn w:val="a0"/>
    <w:link w:val="5"/>
    <w:uiPriority w:val="9"/>
    <w:semiHidden/>
    <w:rsid w:val="00951BC5"/>
    <w:rPr>
      <w:rFonts w:cstheme="majorBidi"/>
      <w:color w:val="0F4761" w:themeColor="accent1" w:themeShade="BF"/>
      <w:sz w:val="24"/>
      <w:szCs w:val="24"/>
    </w:rPr>
  </w:style>
  <w:style w:type="character" w:customStyle="1" w:styleId="60">
    <w:name w:val="标题 6 字符"/>
    <w:basedOn w:val="a0"/>
    <w:link w:val="6"/>
    <w:uiPriority w:val="9"/>
    <w:semiHidden/>
    <w:rsid w:val="00951BC5"/>
    <w:rPr>
      <w:rFonts w:cstheme="majorBidi"/>
      <w:b/>
      <w:bCs/>
      <w:color w:val="0F4761" w:themeColor="accent1" w:themeShade="BF"/>
    </w:rPr>
  </w:style>
  <w:style w:type="character" w:customStyle="1" w:styleId="70">
    <w:name w:val="标题 7 字符"/>
    <w:basedOn w:val="a0"/>
    <w:link w:val="7"/>
    <w:uiPriority w:val="9"/>
    <w:semiHidden/>
    <w:rsid w:val="00951BC5"/>
    <w:rPr>
      <w:rFonts w:cstheme="majorBidi"/>
      <w:b/>
      <w:bCs/>
      <w:color w:val="595959" w:themeColor="text1" w:themeTint="A6"/>
    </w:rPr>
  </w:style>
  <w:style w:type="character" w:customStyle="1" w:styleId="80">
    <w:name w:val="标题 8 字符"/>
    <w:basedOn w:val="a0"/>
    <w:link w:val="8"/>
    <w:uiPriority w:val="9"/>
    <w:semiHidden/>
    <w:rsid w:val="00951BC5"/>
    <w:rPr>
      <w:rFonts w:cstheme="majorBidi"/>
      <w:color w:val="595959" w:themeColor="text1" w:themeTint="A6"/>
    </w:rPr>
  </w:style>
  <w:style w:type="character" w:customStyle="1" w:styleId="90">
    <w:name w:val="标题 9 字符"/>
    <w:basedOn w:val="a0"/>
    <w:link w:val="9"/>
    <w:uiPriority w:val="9"/>
    <w:semiHidden/>
    <w:rsid w:val="00951BC5"/>
    <w:rPr>
      <w:rFonts w:eastAsiaTheme="majorEastAsia" w:cstheme="majorBidi"/>
      <w:color w:val="595959" w:themeColor="text1" w:themeTint="A6"/>
    </w:rPr>
  </w:style>
  <w:style w:type="paragraph" w:styleId="a3">
    <w:name w:val="Title"/>
    <w:basedOn w:val="a"/>
    <w:next w:val="a"/>
    <w:link w:val="a4"/>
    <w:uiPriority w:val="10"/>
    <w:qFormat/>
    <w:rsid w:val="00951BC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51BC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51BC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51BC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51BC5"/>
    <w:pPr>
      <w:spacing w:before="160" w:after="160"/>
      <w:jc w:val="center"/>
    </w:pPr>
    <w:rPr>
      <w:i/>
      <w:iCs/>
      <w:color w:val="404040" w:themeColor="text1" w:themeTint="BF"/>
    </w:rPr>
  </w:style>
  <w:style w:type="character" w:customStyle="1" w:styleId="a8">
    <w:name w:val="引用 字符"/>
    <w:basedOn w:val="a0"/>
    <w:link w:val="a7"/>
    <w:uiPriority w:val="29"/>
    <w:rsid w:val="00951BC5"/>
    <w:rPr>
      <w:i/>
      <w:iCs/>
      <w:color w:val="404040" w:themeColor="text1" w:themeTint="BF"/>
    </w:rPr>
  </w:style>
  <w:style w:type="paragraph" w:styleId="a9">
    <w:name w:val="List Paragraph"/>
    <w:basedOn w:val="a"/>
    <w:uiPriority w:val="34"/>
    <w:qFormat/>
    <w:rsid w:val="00951BC5"/>
    <w:pPr>
      <w:ind w:left="720"/>
      <w:contextualSpacing/>
    </w:pPr>
  </w:style>
  <w:style w:type="character" w:styleId="aa">
    <w:name w:val="Intense Emphasis"/>
    <w:basedOn w:val="a0"/>
    <w:uiPriority w:val="21"/>
    <w:qFormat/>
    <w:rsid w:val="00951BC5"/>
    <w:rPr>
      <w:i/>
      <w:iCs/>
      <w:color w:val="0F4761" w:themeColor="accent1" w:themeShade="BF"/>
    </w:rPr>
  </w:style>
  <w:style w:type="paragraph" w:styleId="ab">
    <w:name w:val="Intense Quote"/>
    <w:basedOn w:val="a"/>
    <w:next w:val="a"/>
    <w:link w:val="ac"/>
    <w:uiPriority w:val="30"/>
    <w:qFormat/>
    <w:rsid w:val="00951B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951BC5"/>
    <w:rPr>
      <w:i/>
      <w:iCs/>
      <w:color w:val="0F4761" w:themeColor="accent1" w:themeShade="BF"/>
    </w:rPr>
  </w:style>
  <w:style w:type="character" w:styleId="ad">
    <w:name w:val="Intense Reference"/>
    <w:basedOn w:val="a0"/>
    <w:uiPriority w:val="32"/>
    <w:qFormat/>
    <w:rsid w:val="00951BC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032532">
      <w:bodyDiv w:val="1"/>
      <w:marLeft w:val="0"/>
      <w:marRight w:val="0"/>
      <w:marTop w:val="0"/>
      <w:marBottom w:val="0"/>
      <w:divBdr>
        <w:top w:val="none" w:sz="0" w:space="0" w:color="auto"/>
        <w:left w:val="none" w:sz="0" w:space="0" w:color="auto"/>
        <w:bottom w:val="none" w:sz="0" w:space="0" w:color="auto"/>
        <w:right w:val="none" w:sz="0" w:space="0" w:color="auto"/>
      </w:divBdr>
    </w:div>
    <w:div w:id="943655602">
      <w:bodyDiv w:val="1"/>
      <w:marLeft w:val="0"/>
      <w:marRight w:val="0"/>
      <w:marTop w:val="0"/>
      <w:marBottom w:val="0"/>
      <w:divBdr>
        <w:top w:val="none" w:sz="0" w:space="0" w:color="auto"/>
        <w:left w:val="none" w:sz="0" w:space="0" w:color="auto"/>
        <w:bottom w:val="none" w:sz="0" w:space="0" w:color="auto"/>
        <w:right w:val="none" w:sz="0" w:space="0" w:color="auto"/>
      </w:divBdr>
    </w:div>
    <w:div w:id="1024525021">
      <w:bodyDiv w:val="1"/>
      <w:marLeft w:val="0"/>
      <w:marRight w:val="0"/>
      <w:marTop w:val="0"/>
      <w:marBottom w:val="0"/>
      <w:divBdr>
        <w:top w:val="none" w:sz="0" w:space="0" w:color="auto"/>
        <w:left w:val="none" w:sz="0" w:space="0" w:color="auto"/>
        <w:bottom w:val="none" w:sz="0" w:space="0" w:color="auto"/>
        <w:right w:val="none" w:sz="0" w:space="0" w:color="auto"/>
      </w:divBdr>
    </w:div>
    <w:div w:id="1669089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231</Words>
  <Characters>1322</Characters>
  <Application>Microsoft Office Word</Application>
  <DocSecurity>0</DocSecurity>
  <Lines>11</Lines>
  <Paragraphs>3</Paragraphs>
  <ScaleCrop>false</ScaleCrop>
  <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ME</cp:lastModifiedBy>
  <cp:revision>11</cp:revision>
  <dcterms:created xsi:type="dcterms:W3CDTF">2024-08-25T05:46:00Z</dcterms:created>
  <dcterms:modified xsi:type="dcterms:W3CDTF">2024-08-25T05:52:00Z</dcterms:modified>
</cp:coreProperties>
</file>