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C72F6" w14:textId="2FE8B3AA" w:rsidR="00CE2BBF" w:rsidRPr="00B01140" w:rsidRDefault="00CE2BBF" w:rsidP="00CE2BBF">
      <w:pPr>
        <w:rPr>
          <w:rFonts w:ascii="黑体" w:eastAsia="黑体" w:hAnsi="黑体" w:hint="eastAsia"/>
          <w:sz w:val="28"/>
          <w:szCs w:val="28"/>
        </w:rPr>
      </w:pPr>
      <w:r w:rsidRPr="00CE2BBF">
        <w:rPr>
          <w:rFonts w:ascii="黑体" w:eastAsia="黑体" w:hAnsi="黑体" w:hint="eastAsia"/>
          <w:sz w:val="28"/>
          <w:szCs w:val="28"/>
        </w:rPr>
        <w:t>附件</w:t>
      </w:r>
      <w:r w:rsidR="00027955">
        <w:rPr>
          <w:rFonts w:ascii="黑体" w:eastAsia="黑体" w:hAnsi="黑体" w:hint="eastAsia"/>
          <w:sz w:val="28"/>
          <w:szCs w:val="28"/>
        </w:rPr>
        <w:t>7</w:t>
      </w:r>
      <w:r w:rsidRPr="00CE2BBF">
        <w:rPr>
          <w:rFonts w:ascii="黑体" w:eastAsia="黑体" w:hAnsi="黑体" w:hint="eastAsia"/>
          <w:sz w:val="28"/>
          <w:szCs w:val="28"/>
        </w:rPr>
        <w:t>：</w:t>
      </w:r>
    </w:p>
    <w:p w14:paraId="12E405C5" w14:textId="5F4483CF" w:rsidR="00CE2BBF" w:rsidRPr="00CE2BBF" w:rsidRDefault="00027955" w:rsidP="0024154D">
      <w:pPr>
        <w:spacing w:beforeLines="50" w:before="156" w:afterLines="50" w:after="156" w:line="360" w:lineRule="auto"/>
        <w:jc w:val="center"/>
        <w:rPr>
          <w:rFonts w:ascii="黑体" w:eastAsia="黑体" w:hAnsi="黑体" w:hint="eastAsia"/>
          <w:sz w:val="48"/>
          <w:szCs w:val="48"/>
        </w:rPr>
      </w:pPr>
      <w:r w:rsidRPr="00027955">
        <w:rPr>
          <w:rFonts w:ascii="黑体" w:eastAsia="黑体" w:hAnsi="黑体" w:hint="eastAsia"/>
          <w:sz w:val="48"/>
          <w:szCs w:val="48"/>
        </w:rPr>
        <w:t>药包材生产洁净室（区）要求</w:t>
      </w:r>
    </w:p>
    <w:p w14:paraId="65CB2BE6" w14:textId="77777777"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一、直接接触药品的包装材料和容器（以下简称“药包材”）生产应采用使污染降至最低限度的生产技术。在考虑生产环境的洁净度级别时，应与生产技术结合起来。当生产技术不能保证药包材不受污染或不能有效排除污染时，生产环境的洁净度应在条件许可的前提下，尽量提高。</w:t>
      </w:r>
    </w:p>
    <w:p w14:paraId="0392ED7A" w14:textId="7E1FD8AE"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二、药包材生产企业可以根据产品的分类和用途确定相应洁净度级别，洁净级别的设置应遵循与所包装的药品生产洁净度级别相同的原则，并据此结合药包材的生产工艺进行净化厂房的设计和施工，以保证产品在符合规定的环境里生产。</w:t>
      </w:r>
    </w:p>
    <w:p w14:paraId="28DE4977" w14:textId="26C8740A"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三、洁净室（区）内有多个工序时，应根据各工序的不同要求，采用不同的洁净度级别。在满足生产工艺要求的条件下，洁净室（区）的气流组织可采用局部工作区空气净化和全室空气净化相结合的形式，如10000级下的局部100级洁净区。</w:t>
      </w:r>
    </w:p>
    <w:p w14:paraId="2911F0F3" w14:textId="73185B9A"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四、对于洁净室（区）内使用的压缩空气或各类气体，也应列入受控范围。</w:t>
      </w:r>
    </w:p>
    <w:p w14:paraId="58577FF3" w14:textId="087F1717"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五、洁净工作服的洗涤干燥、工具清洗存放应符合《药品生产质量管理规范》（1998年修订）中的相应规定。无菌</w:t>
      </w:r>
      <w:r w:rsidRPr="00027955">
        <w:rPr>
          <w:rFonts w:ascii="微软雅黑" w:eastAsia="微软雅黑" w:hAnsi="微软雅黑" w:hint="eastAsia"/>
          <w:sz w:val="32"/>
          <w:szCs w:val="32"/>
        </w:rPr>
        <w:lastRenderedPageBreak/>
        <w:t>工作服的整理、灭菌后的贮存应在10000级洁净室（区）内。</w:t>
      </w:r>
    </w:p>
    <w:p w14:paraId="050E5E59" w14:textId="0EA56F74"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六、不同洁净度级别应分别设置更衣、换鞋缓冲区域。人员和工艺原料要进入无菌核心区，应优先选择通过几个洁净度等级逐步增加的过程，以适应于他们所要进入的区域的不同要求。</w:t>
      </w:r>
    </w:p>
    <w:p w14:paraId="04FB7D04" w14:textId="7BB15B0D"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七、药包材企业生产区域可分为生产控制区和洁净室（区），其中生产控制区应为密闭空间，具备粗效过滤的集中送风系统，内表面应平整光滑，无颗粒物脱落，墙面和地面能耐受清洗和消毒，以减少灰尘的积聚。</w:t>
      </w:r>
    </w:p>
    <w:p w14:paraId="3F6484A2" w14:textId="5DFEFE7A"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八、直接接触药品的包装材料和容器的生产洁净区域图例如下，生产工序和名称以较常见的方式命名。企业可根据实际状况、布局来定。</w:t>
      </w:r>
    </w:p>
    <w:p w14:paraId="73058D7C" w14:textId="1C249B40" w:rsidR="00027955" w:rsidRPr="00027955" w:rsidRDefault="00152351" w:rsidP="00027955">
      <w:pPr>
        <w:rPr>
          <w:rFonts w:ascii="微软雅黑" w:eastAsia="微软雅黑" w:hAnsi="微软雅黑" w:hint="eastAsia"/>
          <w:sz w:val="32"/>
          <w:szCs w:val="32"/>
        </w:rPr>
      </w:pPr>
      <w:r w:rsidRPr="00152351">
        <w:rPr>
          <w:rFonts w:ascii="微软雅黑" w:eastAsia="微软雅黑" w:hAnsi="微软雅黑" w:hint="eastAsia"/>
          <w:sz w:val="32"/>
          <w:szCs w:val="32"/>
        </w:rPr>
        <w:t>（略，详见原稿）</w:t>
      </w:r>
    </w:p>
    <w:p w14:paraId="40E301D8" w14:textId="1A7578CC"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8.1  药用氯化丁基橡胶瓶塞、药用溴化丁基橡胶瓶塞</w:t>
      </w:r>
    </w:p>
    <w:p w14:paraId="771FC847" w14:textId="773E0932"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29A5FDD5" w14:textId="27A7E1DC"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8.2  药品包装用铝箔</w:t>
      </w:r>
    </w:p>
    <w:p w14:paraId="21549049" w14:textId="1CBAE001"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01C10C02" w14:textId="6E906DCA"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8.3  药用硬片、药用复合硬片</w:t>
      </w:r>
    </w:p>
    <w:p w14:paraId="354ABEF0" w14:textId="0101B26C"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03C1EDD7" w14:textId="35D0D96B"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8.4  药用复合膜（片）、复合膜（袋）</w:t>
      </w:r>
    </w:p>
    <w:p w14:paraId="41CDF2C0" w14:textId="77777777" w:rsidR="00027955" w:rsidRPr="00027955" w:rsidRDefault="00027955" w:rsidP="00027955">
      <w:pPr>
        <w:rPr>
          <w:rFonts w:ascii="微软雅黑" w:eastAsia="微软雅黑" w:hAnsi="微软雅黑" w:hint="eastAsia"/>
          <w:sz w:val="32"/>
          <w:szCs w:val="32"/>
        </w:rPr>
      </w:pPr>
    </w:p>
    <w:p w14:paraId="14E67895" w14:textId="17C2CA5A"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lastRenderedPageBreak/>
        <w:t>（略，详见原稿）</w:t>
      </w:r>
    </w:p>
    <w:p w14:paraId="44A42A40" w14:textId="28319B3D"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注：其中“复合”工序可以分为干法、湿法、流延、共挤等数种。</w:t>
      </w:r>
    </w:p>
    <w:p w14:paraId="37A76B37" w14:textId="121D43F0"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8.5  塑料输液瓶（袋）</w:t>
      </w:r>
    </w:p>
    <w:p w14:paraId="322DC4EE" w14:textId="07C3FA53"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8.5.1  塑料输液瓶</w:t>
      </w:r>
    </w:p>
    <w:p w14:paraId="1B3DF049" w14:textId="0658D62C"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23EC2261" w14:textId="0466F51C"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8.5.2  塑料输液袋（包括注射剂用塑料容器）</w:t>
      </w:r>
    </w:p>
    <w:p w14:paraId="67DFEBDB" w14:textId="0CDAE4B2"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78FE9EB8" w14:textId="7CD5D410"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8.5.3  塑料输液膜</w:t>
      </w:r>
    </w:p>
    <w:p w14:paraId="5B8FCEB5" w14:textId="1D1C2E69"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2B97899F" w14:textId="3235600D"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8.6  固体、液体药用塑料瓶</w:t>
      </w:r>
    </w:p>
    <w:p w14:paraId="37840F4E" w14:textId="29DAC17C"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5A42E6CD" w14:textId="44B29E7A"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注：如果用于特殊用途或更高洁净级别的场合，该生产工序的洁净级别必须与之适应。</w:t>
      </w:r>
    </w:p>
    <w:p w14:paraId="4E046DB3" w14:textId="13767A4D"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8.7  滴眼剂用塑料容器</w:t>
      </w:r>
    </w:p>
    <w:p w14:paraId="35CFDEC9" w14:textId="79CAF08D"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331FB652" w14:textId="433E967E"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注：如果用于特殊用途或更高洁净级别的场合，该生产工序的洁净级别必须与之适应。</w:t>
      </w:r>
    </w:p>
    <w:p w14:paraId="034A025C" w14:textId="5320344B"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8.8  药用软膏管</w:t>
      </w:r>
    </w:p>
    <w:p w14:paraId="19C5FBFB" w14:textId="1582F6E4"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8.8.1  药用软膏铝管</w:t>
      </w:r>
    </w:p>
    <w:p w14:paraId="2172B808" w14:textId="0990E420"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400D9B0B" w14:textId="5C4653E8"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8.8.2  药用复合软管</w:t>
      </w:r>
    </w:p>
    <w:p w14:paraId="12D8A8DD" w14:textId="21F50BC1"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lastRenderedPageBreak/>
        <w:t>（略，详见原稿）</w:t>
      </w:r>
    </w:p>
    <w:p w14:paraId="61578FBB" w14:textId="110DC546"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8.9  药用气雾剂喷雾阀门</w:t>
      </w:r>
    </w:p>
    <w:p w14:paraId="52830D25" w14:textId="7299A7E6" w:rsidR="00027955" w:rsidRPr="00027955" w:rsidRDefault="00152351" w:rsidP="00027955">
      <w:pPr>
        <w:rPr>
          <w:rFonts w:ascii="微软雅黑" w:eastAsia="微软雅黑" w:hAnsi="微软雅黑" w:hint="eastAsia"/>
          <w:sz w:val="32"/>
          <w:szCs w:val="32"/>
        </w:rPr>
      </w:pPr>
      <w:r>
        <w:rPr>
          <w:rFonts w:ascii="微软雅黑" w:eastAsia="微软雅黑" w:hAnsi="微软雅黑" w:hint="eastAsia"/>
          <w:sz w:val="32"/>
          <w:szCs w:val="32"/>
        </w:rPr>
        <w:t>（略，详见原稿）</w:t>
      </w:r>
    </w:p>
    <w:p w14:paraId="6AC664DB" w14:textId="5855C7AC" w:rsidR="00027955" w:rsidRPr="00027955" w:rsidRDefault="00027955" w:rsidP="00027955">
      <w:pPr>
        <w:rPr>
          <w:rFonts w:ascii="微软雅黑" w:eastAsia="微软雅黑" w:hAnsi="微软雅黑" w:hint="eastAsia"/>
          <w:sz w:val="32"/>
          <w:szCs w:val="32"/>
        </w:rPr>
      </w:pPr>
      <w:r w:rsidRPr="00027955">
        <w:rPr>
          <w:rFonts w:ascii="微软雅黑" w:eastAsia="微软雅黑" w:hAnsi="微软雅黑" w:hint="eastAsia"/>
          <w:sz w:val="32"/>
          <w:szCs w:val="32"/>
        </w:rPr>
        <w:t>8.10  药用铝塑复合盖</w:t>
      </w:r>
    </w:p>
    <w:p w14:paraId="461617A8" w14:textId="08B118DE" w:rsidR="00285573" w:rsidRPr="00CE2BBF" w:rsidRDefault="00152351" w:rsidP="00027955">
      <w:pPr>
        <w:rPr>
          <w:rFonts w:ascii="宋体" w:eastAsia="宋体" w:hAnsi="宋体" w:hint="eastAsia"/>
          <w:sz w:val="32"/>
          <w:szCs w:val="32"/>
        </w:rPr>
      </w:pPr>
      <w:r>
        <w:rPr>
          <w:rFonts w:ascii="微软雅黑" w:eastAsia="微软雅黑" w:hAnsi="微软雅黑" w:hint="eastAsia"/>
          <w:sz w:val="32"/>
          <w:szCs w:val="32"/>
        </w:rPr>
        <w:t>（略，详见原稿）</w:t>
      </w:r>
    </w:p>
    <w:sectPr w:rsidR="00285573" w:rsidRPr="00CE2B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1BC5"/>
    <w:rsid w:val="00027955"/>
    <w:rsid w:val="00152351"/>
    <w:rsid w:val="0024154D"/>
    <w:rsid w:val="00285573"/>
    <w:rsid w:val="007D7FF4"/>
    <w:rsid w:val="00821210"/>
    <w:rsid w:val="00916AC6"/>
    <w:rsid w:val="00951BC5"/>
    <w:rsid w:val="009B6467"/>
    <w:rsid w:val="00AD43D9"/>
    <w:rsid w:val="00B01140"/>
    <w:rsid w:val="00CE2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7DCE7"/>
  <w15:chartTrackingRefBased/>
  <w15:docId w15:val="{654D7F08-27BC-4735-B849-31466902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1BC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51BC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51BC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51BC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51BC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51BC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51BC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51BC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51BC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1BC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51BC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51BC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51BC5"/>
    <w:rPr>
      <w:rFonts w:cstheme="majorBidi"/>
      <w:color w:val="0F4761" w:themeColor="accent1" w:themeShade="BF"/>
      <w:sz w:val="28"/>
      <w:szCs w:val="28"/>
    </w:rPr>
  </w:style>
  <w:style w:type="character" w:customStyle="1" w:styleId="50">
    <w:name w:val="标题 5 字符"/>
    <w:basedOn w:val="a0"/>
    <w:link w:val="5"/>
    <w:uiPriority w:val="9"/>
    <w:semiHidden/>
    <w:rsid w:val="00951BC5"/>
    <w:rPr>
      <w:rFonts w:cstheme="majorBidi"/>
      <w:color w:val="0F4761" w:themeColor="accent1" w:themeShade="BF"/>
      <w:sz w:val="24"/>
      <w:szCs w:val="24"/>
    </w:rPr>
  </w:style>
  <w:style w:type="character" w:customStyle="1" w:styleId="60">
    <w:name w:val="标题 6 字符"/>
    <w:basedOn w:val="a0"/>
    <w:link w:val="6"/>
    <w:uiPriority w:val="9"/>
    <w:semiHidden/>
    <w:rsid w:val="00951BC5"/>
    <w:rPr>
      <w:rFonts w:cstheme="majorBidi"/>
      <w:b/>
      <w:bCs/>
      <w:color w:val="0F4761" w:themeColor="accent1" w:themeShade="BF"/>
    </w:rPr>
  </w:style>
  <w:style w:type="character" w:customStyle="1" w:styleId="70">
    <w:name w:val="标题 7 字符"/>
    <w:basedOn w:val="a0"/>
    <w:link w:val="7"/>
    <w:uiPriority w:val="9"/>
    <w:semiHidden/>
    <w:rsid w:val="00951BC5"/>
    <w:rPr>
      <w:rFonts w:cstheme="majorBidi"/>
      <w:b/>
      <w:bCs/>
      <w:color w:val="595959" w:themeColor="text1" w:themeTint="A6"/>
    </w:rPr>
  </w:style>
  <w:style w:type="character" w:customStyle="1" w:styleId="80">
    <w:name w:val="标题 8 字符"/>
    <w:basedOn w:val="a0"/>
    <w:link w:val="8"/>
    <w:uiPriority w:val="9"/>
    <w:semiHidden/>
    <w:rsid w:val="00951BC5"/>
    <w:rPr>
      <w:rFonts w:cstheme="majorBidi"/>
      <w:color w:val="595959" w:themeColor="text1" w:themeTint="A6"/>
    </w:rPr>
  </w:style>
  <w:style w:type="character" w:customStyle="1" w:styleId="90">
    <w:name w:val="标题 9 字符"/>
    <w:basedOn w:val="a0"/>
    <w:link w:val="9"/>
    <w:uiPriority w:val="9"/>
    <w:semiHidden/>
    <w:rsid w:val="00951BC5"/>
    <w:rPr>
      <w:rFonts w:eastAsiaTheme="majorEastAsia" w:cstheme="majorBidi"/>
      <w:color w:val="595959" w:themeColor="text1" w:themeTint="A6"/>
    </w:rPr>
  </w:style>
  <w:style w:type="paragraph" w:styleId="a3">
    <w:name w:val="Title"/>
    <w:basedOn w:val="a"/>
    <w:next w:val="a"/>
    <w:link w:val="a4"/>
    <w:uiPriority w:val="10"/>
    <w:qFormat/>
    <w:rsid w:val="00951B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51B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B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51B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1BC5"/>
    <w:pPr>
      <w:spacing w:before="160" w:after="160"/>
      <w:jc w:val="center"/>
    </w:pPr>
    <w:rPr>
      <w:i/>
      <w:iCs/>
      <w:color w:val="404040" w:themeColor="text1" w:themeTint="BF"/>
    </w:rPr>
  </w:style>
  <w:style w:type="character" w:customStyle="1" w:styleId="a8">
    <w:name w:val="引用 字符"/>
    <w:basedOn w:val="a0"/>
    <w:link w:val="a7"/>
    <w:uiPriority w:val="29"/>
    <w:rsid w:val="00951BC5"/>
    <w:rPr>
      <w:i/>
      <w:iCs/>
      <w:color w:val="404040" w:themeColor="text1" w:themeTint="BF"/>
    </w:rPr>
  </w:style>
  <w:style w:type="paragraph" w:styleId="a9">
    <w:name w:val="List Paragraph"/>
    <w:basedOn w:val="a"/>
    <w:uiPriority w:val="34"/>
    <w:qFormat/>
    <w:rsid w:val="00951BC5"/>
    <w:pPr>
      <w:ind w:left="720"/>
      <w:contextualSpacing/>
    </w:pPr>
  </w:style>
  <w:style w:type="character" w:styleId="aa">
    <w:name w:val="Intense Emphasis"/>
    <w:basedOn w:val="a0"/>
    <w:uiPriority w:val="21"/>
    <w:qFormat/>
    <w:rsid w:val="00951BC5"/>
    <w:rPr>
      <w:i/>
      <w:iCs/>
      <w:color w:val="0F4761" w:themeColor="accent1" w:themeShade="BF"/>
    </w:rPr>
  </w:style>
  <w:style w:type="paragraph" w:styleId="ab">
    <w:name w:val="Intense Quote"/>
    <w:basedOn w:val="a"/>
    <w:next w:val="a"/>
    <w:link w:val="ac"/>
    <w:uiPriority w:val="30"/>
    <w:qFormat/>
    <w:rsid w:val="00951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51BC5"/>
    <w:rPr>
      <w:i/>
      <w:iCs/>
      <w:color w:val="0F4761" w:themeColor="accent1" w:themeShade="BF"/>
    </w:rPr>
  </w:style>
  <w:style w:type="character" w:styleId="ad">
    <w:name w:val="Intense Reference"/>
    <w:basedOn w:val="a0"/>
    <w:uiPriority w:val="32"/>
    <w:qFormat/>
    <w:rsid w:val="00951B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655602">
      <w:bodyDiv w:val="1"/>
      <w:marLeft w:val="0"/>
      <w:marRight w:val="0"/>
      <w:marTop w:val="0"/>
      <w:marBottom w:val="0"/>
      <w:divBdr>
        <w:top w:val="none" w:sz="0" w:space="0" w:color="auto"/>
        <w:left w:val="none" w:sz="0" w:space="0" w:color="auto"/>
        <w:bottom w:val="none" w:sz="0" w:space="0" w:color="auto"/>
        <w:right w:val="none" w:sz="0" w:space="0" w:color="auto"/>
      </w:divBdr>
    </w:div>
    <w:div w:id="166908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177</Words>
  <Characters>1012</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8</cp:revision>
  <dcterms:created xsi:type="dcterms:W3CDTF">2024-08-25T05:46:00Z</dcterms:created>
  <dcterms:modified xsi:type="dcterms:W3CDTF">2024-08-25T06:45:00Z</dcterms:modified>
</cp:coreProperties>
</file>