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Times New Roman" w:hAnsi="Times New Roman" w:eastAsia="黑体" w:cs="黑体"/>
          <w:b w:val="0"/>
          <w:bCs/>
          <w:sz w:val="21"/>
          <w:szCs w:val="21"/>
          <w:lang w:val="en-US" w:eastAsia="zh-CN"/>
        </w:rPr>
      </w:pPr>
      <w:bookmarkStart w:id="0" w:name="_GoBack"/>
      <w:bookmarkEnd w:id="0"/>
    </w:p>
    <w:p>
      <w:pPr>
        <w:jc w:val="left"/>
        <w:rPr>
          <w:rFonts w:hint="default" w:ascii="Times New Roman" w:hAnsi="Times New Roman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黑体"/>
          <w:b w:val="0"/>
          <w:bCs/>
          <w:sz w:val="32"/>
          <w:szCs w:val="32"/>
          <w:lang w:val="en-US" w:eastAsia="zh-CN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b w:val="0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b w:val="0"/>
          <w:bCs/>
          <w:sz w:val="32"/>
          <w:szCs w:val="32"/>
          <w:lang w:val="en-US" w:eastAsia="zh-CN"/>
        </w:rPr>
        <w:t>《保健食品原料目录 鱼油》</w:t>
      </w:r>
    </w:p>
    <w:p>
      <w:pPr>
        <w:tabs>
          <w:tab w:val="left" w:pos="1183"/>
        </w:tabs>
        <w:bidi w:val="0"/>
        <w:jc w:val="center"/>
        <w:rPr>
          <w:rFonts w:hint="eastAsia" w:ascii="Times New Roman" w:hAnsi="Times New Roman" w:eastAsia="方正小标宋简体" w:cs="方正小标宋简体"/>
          <w:b/>
          <w:bCs/>
          <w:sz w:val="36"/>
          <w:szCs w:val="36"/>
          <w:lang w:val="en-US" w:eastAsia="zh-CN"/>
        </w:rPr>
      </w:pPr>
    </w:p>
    <w:tbl>
      <w:tblPr>
        <w:tblStyle w:val="6"/>
        <w:tblpPr w:leftFromText="180" w:rightFromText="180" w:vertAnchor="page" w:horzAnchor="page" w:tblpX="826" w:tblpY="3475"/>
        <w:tblW w:w="103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1"/>
        <w:gridCol w:w="1814"/>
        <w:gridCol w:w="1860"/>
        <w:gridCol w:w="2206"/>
        <w:gridCol w:w="1718"/>
        <w:gridCol w:w="12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511" w:type="dxa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32"/>
                <w:szCs w:val="32"/>
              </w:rPr>
            </w:pPr>
            <w:r>
              <w:rPr>
                <w:rFonts w:hint="eastAsia" w:asciiTheme="majorEastAsia" w:hAnsiTheme="majorEastAsia" w:eastAsiaTheme="majorEastAsia"/>
                <w:b/>
                <w:sz w:val="32"/>
                <w:szCs w:val="32"/>
              </w:rPr>
              <w:t>原料</w:t>
            </w:r>
            <w:r>
              <w:rPr>
                <w:rFonts w:asciiTheme="majorEastAsia" w:hAnsiTheme="majorEastAsia" w:eastAsiaTheme="majorEastAsia"/>
                <w:b/>
                <w:sz w:val="32"/>
                <w:szCs w:val="32"/>
              </w:rPr>
              <w:t>名称</w:t>
            </w:r>
          </w:p>
        </w:tc>
        <w:tc>
          <w:tcPr>
            <w:tcW w:w="7598" w:type="dxa"/>
            <w:gridSpan w:val="4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32"/>
                <w:szCs w:val="32"/>
              </w:rPr>
            </w:pPr>
            <w:r>
              <w:rPr>
                <w:rFonts w:hint="eastAsia" w:asciiTheme="majorEastAsia" w:hAnsiTheme="majorEastAsia" w:eastAsiaTheme="majorEastAsia"/>
                <w:b/>
                <w:sz w:val="32"/>
                <w:szCs w:val="32"/>
              </w:rPr>
              <w:t>每</w:t>
            </w:r>
            <w:r>
              <w:rPr>
                <w:rFonts w:asciiTheme="majorEastAsia" w:hAnsiTheme="majorEastAsia" w:eastAsiaTheme="majorEastAsia"/>
                <w:b/>
                <w:sz w:val="32"/>
                <w:szCs w:val="32"/>
              </w:rPr>
              <w:t>日用量</w:t>
            </w:r>
          </w:p>
        </w:tc>
        <w:tc>
          <w:tcPr>
            <w:tcW w:w="1290" w:type="dxa"/>
            <w:vMerge w:val="restart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32"/>
                <w:szCs w:val="32"/>
              </w:rPr>
            </w:pPr>
            <w:r>
              <w:rPr>
                <w:rFonts w:hint="eastAsia" w:asciiTheme="majorEastAsia" w:hAnsiTheme="majorEastAsia" w:eastAsiaTheme="majorEastAsia"/>
                <w:b/>
                <w:sz w:val="32"/>
                <w:szCs w:val="32"/>
              </w:rPr>
              <w:t>功效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1511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>
              <w:rPr>
                <w:rFonts w:asciiTheme="minorEastAsia" w:hAnsiTheme="minorEastAsia"/>
                <w:b/>
                <w:sz w:val="32"/>
                <w:szCs w:val="32"/>
              </w:rPr>
              <w:t>名称</w:t>
            </w: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>
              <w:rPr>
                <w:rFonts w:hint="eastAsia" w:asciiTheme="minorEastAsia" w:hAnsiTheme="minorEastAsia"/>
                <w:b/>
                <w:sz w:val="32"/>
                <w:szCs w:val="32"/>
              </w:rPr>
              <w:t>用量</w:t>
            </w:r>
            <w:r>
              <w:rPr>
                <w:rFonts w:asciiTheme="minorEastAsia" w:hAnsiTheme="minorEastAsia"/>
                <w:b/>
                <w:sz w:val="32"/>
                <w:szCs w:val="32"/>
              </w:rPr>
              <w:t>范围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>
              <w:rPr>
                <w:rFonts w:hint="eastAsia" w:asciiTheme="minorEastAsia" w:hAnsiTheme="minorEastAsia"/>
                <w:b/>
                <w:sz w:val="32"/>
                <w:szCs w:val="32"/>
              </w:rPr>
              <w:t>适宜人群</w:t>
            </w:r>
          </w:p>
        </w:tc>
        <w:tc>
          <w:tcPr>
            <w:tcW w:w="2206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>
              <w:rPr>
                <w:rFonts w:hint="eastAsia" w:asciiTheme="minorEastAsia" w:hAnsiTheme="minorEastAsia"/>
                <w:b/>
                <w:sz w:val="32"/>
                <w:szCs w:val="32"/>
              </w:rPr>
              <w:t>不适宜</w:t>
            </w:r>
            <w:r>
              <w:rPr>
                <w:rFonts w:asciiTheme="minorEastAsia" w:hAnsiTheme="minorEastAsia"/>
                <w:b/>
                <w:sz w:val="32"/>
                <w:szCs w:val="32"/>
              </w:rPr>
              <w:t>人群</w:t>
            </w:r>
          </w:p>
        </w:tc>
        <w:tc>
          <w:tcPr>
            <w:tcW w:w="1718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>
              <w:rPr>
                <w:rFonts w:hint="eastAsia" w:asciiTheme="minorEastAsia" w:hAnsiTheme="minorEastAsia"/>
                <w:b/>
                <w:sz w:val="32"/>
                <w:szCs w:val="32"/>
              </w:rPr>
              <w:t>注意</w:t>
            </w:r>
            <w:r>
              <w:rPr>
                <w:rFonts w:asciiTheme="minorEastAsia" w:hAnsiTheme="minorEastAsia"/>
                <w:b/>
                <w:sz w:val="32"/>
                <w:szCs w:val="32"/>
              </w:rPr>
              <w:t>事项</w:t>
            </w:r>
          </w:p>
        </w:tc>
        <w:tc>
          <w:tcPr>
            <w:tcW w:w="129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4" w:hRule="atLeast"/>
        </w:trPr>
        <w:tc>
          <w:tcPr>
            <w:tcW w:w="151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hint="eastAsia" w:asciiTheme="minorEastAsia" w:hAnsiTheme="minorEastAsia"/>
                <w:sz w:val="32"/>
                <w:szCs w:val="32"/>
              </w:rPr>
              <w:t>鱼油</w:t>
            </w:r>
          </w:p>
          <w:p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hint="eastAsia" w:asciiTheme="minorEastAsia" w:hAnsiTheme="minorEastAsia"/>
                <w:sz w:val="32"/>
                <w:szCs w:val="32"/>
              </w:rPr>
              <w:t>不高于4</w:t>
            </w:r>
            <w:r>
              <w:rPr>
                <w:rFonts w:asciiTheme="minorEastAsia" w:hAnsiTheme="minorEastAsia"/>
                <w:sz w:val="32"/>
                <w:szCs w:val="32"/>
              </w:rPr>
              <w:t>.0g</w:t>
            </w:r>
          </w:p>
          <w:p>
            <w:pPr>
              <w:jc w:val="center"/>
              <w:rPr>
                <w:rFonts w:asciiTheme="minorEastAsia" w:hAnsiTheme="minorEastAsia"/>
                <w:color w:val="FF0000"/>
                <w:sz w:val="32"/>
                <w:szCs w:val="32"/>
              </w:rPr>
            </w:pPr>
            <w:r>
              <w:rPr>
                <w:rFonts w:hint="eastAsia" w:asciiTheme="minorEastAsia" w:hAnsiTheme="minorEastAsia"/>
                <w:sz w:val="32"/>
                <w:szCs w:val="32"/>
              </w:rPr>
              <w:t>（其中</w:t>
            </w:r>
            <w:r>
              <w:rPr>
                <w:rFonts w:asciiTheme="minorEastAsia" w:hAnsiTheme="minorEastAsia"/>
                <w:sz w:val="32"/>
                <w:szCs w:val="32"/>
              </w:rPr>
              <w:t>，</w:t>
            </w:r>
            <w:r>
              <w:rPr>
                <w:rFonts w:hint="eastAsia" w:asciiTheme="minorEastAsia" w:hAnsiTheme="minorEastAsia"/>
                <w:sz w:val="32"/>
                <w:szCs w:val="32"/>
              </w:rPr>
              <w:t>E</w:t>
            </w:r>
            <w:r>
              <w:rPr>
                <w:rFonts w:asciiTheme="minorEastAsia" w:hAnsiTheme="minorEastAsia"/>
                <w:sz w:val="32"/>
                <w:szCs w:val="32"/>
              </w:rPr>
              <w:t>PA</w:t>
            </w:r>
            <w:r>
              <w:rPr>
                <w:rFonts w:hint="eastAsia" w:asciiTheme="minorEastAsia" w:hAnsiTheme="minorEastAsia"/>
                <w:sz w:val="32"/>
                <w:szCs w:val="32"/>
              </w:rPr>
              <w:t>+</w:t>
            </w:r>
            <w:r>
              <w:rPr>
                <w:rFonts w:asciiTheme="minorEastAsia" w:hAnsiTheme="minorEastAsia"/>
                <w:sz w:val="32"/>
                <w:szCs w:val="32"/>
              </w:rPr>
              <w:t>DHA</w:t>
            </w:r>
            <w:r>
              <w:rPr>
                <w:rFonts w:hint="eastAsia" w:asciiTheme="minorEastAsia" w:hAnsiTheme="minorEastAsia"/>
                <w:sz w:val="32"/>
                <w:szCs w:val="32"/>
              </w:rPr>
              <w:t>的</w:t>
            </w:r>
            <w:r>
              <w:rPr>
                <w:rFonts w:asciiTheme="minorEastAsia" w:hAnsiTheme="minorEastAsia"/>
                <w:sz w:val="32"/>
                <w:szCs w:val="32"/>
              </w:rPr>
              <w:t>用量</w:t>
            </w:r>
            <w:r>
              <w:rPr>
                <w:rFonts w:hint="eastAsia" w:asciiTheme="minorEastAsia" w:hAnsiTheme="minorEastAsia"/>
                <w:sz w:val="32"/>
                <w:szCs w:val="32"/>
              </w:rPr>
              <w:t>不低于1.0</w:t>
            </w:r>
            <w:r>
              <w:rPr>
                <w:rFonts w:asciiTheme="minorEastAsia" w:hAnsiTheme="minorEastAsia"/>
                <w:sz w:val="32"/>
                <w:szCs w:val="32"/>
              </w:rPr>
              <w:t>g</w:t>
            </w:r>
            <w:r>
              <w:rPr>
                <w:rFonts w:hint="eastAsia" w:asciiTheme="minorEastAsia" w:hAnsiTheme="minorEastAsia"/>
                <w:sz w:val="32"/>
                <w:szCs w:val="32"/>
              </w:rPr>
              <w:t>）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FF0000"/>
                <w:sz w:val="32"/>
                <w:szCs w:val="32"/>
              </w:rPr>
            </w:pPr>
            <w:r>
              <w:rPr>
                <w:rFonts w:hint="eastAsia" w:eastAsia="仿宋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血脂偏高者</w:t>
            </w:r>
          </w:p>
        </w:tc>
        <w:tc>
          <w:tcPr>
            <w:tcW w:w="220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eastAsia="仿宋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少年儿童、</w:t>
            </w:r>
            <w:r>
              <w:rPr>
                <w:rFonts w:hint="eastAsia" w:eastAsia="仿宋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孕妇、乳母；出血倾向者和出血性疾病患者；肝功能</w:t>
            </w:r>
            <w:r>
              <w:rPr>
                <w:rFonts w:eastAsia="仿宋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不全者</w:t>
            </w:r>
          </w:p>
        </w:tc>
        <w:tc>
          <w:tcPr>
            <w:tcW w:w="171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hint="eastAsia" w:eastAsia="仿宋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对</w:t>
            </w:r>
            <w:r>
              <w:rPr>
                <w:rFonts w:eastAsia="仿宋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海产品过敏者不</w:t>
            </w:r>
            <w:r>
              <w:rPr>
                <w:rFonts w:hint="eastAsia" w:eastAsia="仿宋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推荐食用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hint="eastAsia" w:eastAsia="仿宋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辅助降血脂</w:t>
            </w:r>
          </w:p>
        </w:tc>
      </w:tr>
    </w:tbl>
    <w:p>
      <w:pPr>
        <w:tabs>
          <w:tab w:val="left" w:pos="1183"/>
        </w:tabs>
        <w:bidi w:val="0"/>
        <w:jc w:val="left"/>
        <w:rPr>
          <w:rFonts w:hint="eastAsia" w:ascii="Times New Roman" w:hAnsi="Times New Roman" w:eastAsia="方正小标宋简体" w:cs="方正小标宋简体"/>
          <w:sz w:val="32"/>
          <w:szCs w:val="32"/>
          <w:lang w:val="en-US" w:eastAsia="zh-CN"/>
        </w:rPr>
      </w:pPr>
    </w:p>
    <w:p>
      <w:pPr>
        <w:tabs>
          <w:tab w:val="left" w:pos="1183"/>
        </w:tabs>
        <w:bidi w:val="0"/>
        <w:jc w:val="left"/>
        <w:rPr>
          <w:rFonts w:hint="eastAsia" w:ascii="Times New Roman" w:hAnsi="Times New Roman" w:eastAsia="方正小标宋简体" w:cs="方正小标宋简体"/>
          <w:sz w:val="32"/>
          <w:szCs w:val="32"/>
          <w:lang w:val="en-US" w:eastAsia="zh-CN"/>
        </w:rPr>
      </w:pPr>
    </w:p>
    <w:p>
      <w:pPr>
        <w:tabs>
          <w:tab w:val="left" w:pos="1183"/>
        </w:tabs>
        <w:bidi w:val="0"/>
        <w:jc w:val="left"/>
        <w:rPr>
          <w:rFonts w:hint="eastAsia" w:ascii="Times New Roman" w:hAnsi="Times New Roman" w:eastAsia="方正小标宋简体" w:cs="方正小标宋简体"/>
          <w:sz w:val="32"/>
          <w:szCs w:val="32"/>
          <w:lang w:val="en-US" w:eastAsia="zh-CN"/>
        </w:rPr>
      </w:pPr>
    </w:p>
    <w:p>
      <w:pPr>
        <w:tabs>
          <w:tab w:val="left" w:pos="1183"/>
        </w:tabs>
        <w:bidi w:val="0"/>
        <w:jc w:val="left"/>
        <w:rPr>
          <w:rFonts w:hint="eastAsia" w:ascii="Times New Roman" w:hAnsi="Times New Roman"/>
          <w:lang w:val="en-US" w:eastAsia="zh-CN"/>
        </w:rPr>
      </w:pPr>
    </w:p>
    <w:p>
      <w:pPr>
        <w:tabs>
          <w:tab w:val="left" w:pos="1183"/>
        </w:tabs>
        <w:bidi w:val="0"/>
        <w:jc w:val="left"/>
        <w:rPr>
          <w:rFonts w:hint="eastAsia" w:ascii="Times New Roman" w:hAnsi="Times New Roman"/>
          <w:lang w:val="en-US" w:eastAsia="zh-CN"/>
        </w:rPr>
      </w:pPr>
    </w:p>
    <w:p>
      <w:pPr>
        <w:tabs>
          <w:tab w:val="left" w:pos="1183"/>
        </w:tabs>
        <w:bidi w:val="0"/>
        <w:jc w:val="left"/>
        <w:rPr>
          <w:rFonts w:hint="eastAsia" w:ascii="Times New Roman" w:hAnsi="Times New Roman"/>
          <w:lang w:val="en-US" w:eastAsia="zh-CN"/>
        </w:rPr>
      </w:pPr>
    </w:p>
    <w:p>
      <w:pPr>
        <w:tabs>
          <w:tab w:val="left" w:pos="1183"/>
        </w:tabs>
        <w:bidi w:val="0"/>
        <w:jc w:val="left"/>
        <w:rPr>
          <w:rFonts w:hint="eastAsia" w:ascii="Times New Roman" w:hAnsi="Times New Roman"/>
          <w:lang w:val="en-US" w:eastAsia="zh-CN"/>
        </w:rPr>
      </w:pPr>
    </w:p>
    <w:p>
      <w:pPr>
        <w:tabs>
          <w:tab w:val="left" w:pos="1183"/>
        </w:tabs>
        <w:bidi w:val="0"/>
        <w:jc w:val="left"/>
        <w:rPr>
          <w:rFonts w:hint="eastAsia" w:ascii="Times New Roman" w:hAnsi="Times New Roman"/>
          <w:lang w:val="en-US" w:eastAsia="zh-CN"/>
        </w:rPr>
      </w:pPr>
    </w:p>
    <w:p>
      <w:pPr>
        <w:spacing w:line="360" w:lineRule="auto"/>
        <w:ind w:firstLine="422"/>
        <w:jc w:val="center"/>
        <w:rPr>
          <w:rFonts w:hint="eastAsia" w:ascii="Times New Roman" w:hAnsi="Times New Roman" w:cs="Times New Roman"/>
          <w:b/>
        </w:rPr>
      </w:pPr>
    </w:p>
    <w:p>
      <w:pPr>
        <w:spacing w:line="360" w:lineRule="auto"/>
        <w:ind w:firstLine="422"/>
        <w:jc w:val="center"/>
        <w:rPr>
          <w:rFonts w:hint="eastAsia" w:ascii="Times New Roman" w:hAnsi="Times New Roman" w:cs="Times New Roman"/>
          <w:b/>
        </w:rPr>
      </w:pPr>
    </w:p>
    <w:p>
      <w:pPr>
        <w:spacing w:line="360" w:lineRule="auto"/>
        <w:ind w:firstLine="422"/>
        <w:jc w:val="center"/>
        <w:rPr>
          <w:rFonts w:hint="eastAsia" w:ascii="Times New Roman" w:hAnsi="Times New Roman" w:cs="Times New Roman"/>
          <w:b/>
        </w:rPr>
      </w:pPr>
    </w:p>
    <w:p>
      <w:pPr>
        <w:spacing w:line="360" w:lineRule="auto"/>
        <w:ind w:firstLine="422"/>
        <w:jc w:val="center"/>
        <w:rPr>
          <w:rFonts w:hint="eastAsia" w:ascii="Times New Roman" w:hAnsi="Times New Roman" w:cs="Times New Roman"/>
          <w:b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outlineLvl w:val="9"/>
        <w:rPr>
          <w:rFonts w:hint="eastAsia" w:ascii="Times New Roman" w:hAnsi="Times New Roman" w:eastAsia="方正小标宋简体" w:cs="方正小标宋简体"/>
          <w:b w:val="0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b w:val="0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b w:val="0"/>
          <w:bCs/>
          <w:sz w:val="32"/>
          <w:szCs w:val="32"/>
          <w:lang w:val="en-US" w:eastAsia="zh-CN"/>
        </w:rPr>
        <w:t>鱼油原料技术要求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b w:val="0"/>
          <w:bCs/>
          <w:sz w:val="32"/>
          <w:szCs w:val="32"/>
          <w:lang w:val="en-US" w:eastAsia="zh-CN"/>
        </w:rPr>
      </w:pPr>
    </w:p>
    <w:p>
      <w:pPr>
        <w:pStyle w:val="4"/>
        <w:spacing w:before="0" w:beforeAutospacing="0" w:after="0" w:afterAutospacing="0" w:line="360" w:lineRule="auto"/>
        <w:jc w:val="both"/>
        <w:rPr>
          <w:rFonts w:hint="eastAsia" w:ascii="Times New Roman" w:hAnsi="Times New Roman" w:cs="Times New Roman" w:eastAsiaTheme="minorEastAsia"/>
          <w:color w:val="000000"/>
          <w:spacing w:val="-4"/>
          <w:kern w:val="2"/>
          <w:sz w:val="21"/>
          <w:szCs w:val="22"/>
        </w:rPr>
      </w:pPr>
      <w:r>
        <w:rPr>
          <w:rFonts w:hint="eastAsia" w:ascii="Times New Roman" w:hAnsi="Times New Roman" w:cs="Times New Roman" w:eastAsiaTheme="minorEastAsia"/>
          <w:color w:val="000000"/>
          <w:spacing w:val="-4"/>
          <w:kern w:val="2"/>
          <w:sz w:val="21"/>
          <w:szCs w:val="22"/>
        </w:rPr>
        <w:t>【来源】</w:t>
      </w:r>
    </w:p>
    <w:p>
      <w:pPr>
        <w:pStyle w:val="4"/>
        <w:spacing w:before="0" w:beforeAutospacing="0" w:after="0" w:afterAutospacing="0" w:line="360" w:lineRule="auto"/>
        <w:ind w:firstLine="404" w:firstLineChars="200"/>
        <w:jc w:val="both"/>
        <w:rPr>
          <w:rFonts w:ascii="Times New Roman" w:hAnsi="Times New Roman" w:cs="Times New Roman" w:eastAsiaTheme="minorEastAsia"/>
          <w:color w:val="000000"/>
          <w:spacing w:val="-4"/>
          <w:kern w:val="2"/>
          <w:sz w:val="21"/>
          <w:szCs w:val="22"/>
        </w:rPr>
      </w:pPr>
      <w:r>
        <w:rPr>
          <w:rFonts w:hint="eastAsia" w:ascii="Times New Roman" w:hAnsi="Times New Roman" w:cs="Times New Roman" w:eastAsiaTheme="minorEastAsia"/>
          <w:color w:val="000000"/>
          <w:spacing w:val="-4"/>
          <w:kern w:val="2"/>
          <w:sz w:val="21"/>
          <w:szCs w:val="22"/>
        </w:rPr>
        <w:t>可食用海洋鱼经蒸煮、分离得粗鱼油，再经进一步精制获得用于生产保健食品的原料鱼油，分为甘油三酯型鱼油和乙酯型鱼油。实际生产采用的工艺应包含但不仅限于以下环节：</w:t>
      </w:r>
    </w:p>
    <w:p>
      <w:pPr>
        <w:pStyle w:val="4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 w:eastAsiaTheme="minorEastAsia"/>
          <w:color w:val="000000"/>
          <w:spacing w:val="-4"/>
          <w:kern w:val="2"/>
          <w:sz w:val="21"/>
          <w:szCs w:val="22"/>
        </w:rPr>
      </w:pPr>
      <w:r>
        <w:rPr>
          <w:rFonts w:hint="eastAsia" w:ascii="Times New Roman" w:hAnsi="Times New Roman" w:cs="Times New Roman" w:eastAsiaTheme="minorEastAsia"/>
          <w:color w:val="000000"/>
          <w:spacing w:val="-4"/>
          <w:kern w:val="2"/>
          <w:sz w:val="21"/>
          <w:szCs w:val="22"/>
        </w:rPr>
        <w:t>甘油三酯型鱼油生产工艺</w:t>
      </w:r>
    </w:p>
    <w:p>
      <w:pPr>
        <w:pStyle w:val="4"/>
        <w:spacing w:before="0" w:beforeAutospacing="0" w:after="0" w:afterAutospacing="0" w:line="360" w:lineRule="auto"/>
        <w:ind w:firstLine="404" w:firstLineChars="200"/>
        <w:jc w:val="both"/>
        <w:rPr>
          <w:rFonts w:ascii="Times New Roman" w:hAnsi="Times New Roman" w:cs="Times New Roman" w:eastAsiaTheme="minorEastAsia"/>
          <w:color w:val="000000"/>
          <w:spacing w:val="-4"/>
          <w:kern w:val="2"/>
          <w:sz w:val="21"/>
          <w:szCs w:val="22"/>
        </w:rPr>
      </w:pPr>
      <w:r>
        <w:rPr>
          <w:rFonts w:hint="eastAsia" w:ascii="Times New Roman" w:hAnsi="Times New Roman" w:cs="Times New Roman" w:eastAsiaTheme="minorEastAsia"/>
          <w:color w:val="000000"/>
          <w:spacing w:val="-4"/>
          <w:kern w:val="2"/>
          <w:sz w:val="21"/>
          <w:szCs w:val="22"/>
        </w:rPr>
        <w:t>粗鱼油经脱酸、脱色等工艺处理后得到甘油三酯型鱼油；或经乙酯化、蒸馏、甘油酯化等工艺处理后得到甘油三酯型鱼油。</w:t>
      </w:r>
    </w:p>
    <w:p>
      <w:pPr>
        <w:pStyle w:val="4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 w:eastAsiaTheme="minorEastAsia"/>
          <w:color w:val="000000"/>
          <w:spacing w:val="-4"/>
          <w:kern w:val="2"/>
          <w:sz w:val="21"/>
          <w:szCs w:val="22"/>
        </w:rPr>
      </w:pPr>
      <w:r>
        <w:rPr>
          <w:rFonts w:hint="eastAsia" w:ascii="Times New Roman" w:hAnsi="Times New Roman" w:cs="Times New Roman" w:eastAsiaTheme="minorEastAsia"/>
          <w:color w:val="000000"/>
          <w:spacing w:val="-4"/>
          <w:kern w:val="2"/>
          <w:sz w:val="21"/>
          <w:szCs w:val="22"/>
        </w:rPr>
        <w:t>乙酯型鱼油生产工艺</w:t>
      </w:r>
    </w:p>
    <w:p>
      <w:pPr>
        <w:pStyle w:val="4"/>
        <w:spacing w:before="0" w:beforeAutospacing="0" w:after="0" w:afterAutospacing="0" w:line="360" w:lineRule="auto"/>
        <w:ind w:firstLine="404" w:firstLineChars="200"/>
        <w:jc w:val="both"/>
        <w:rPr>
          <w:rFonts w:ascii="Times New Roman" w:hAnsi="Times New Roman" w:cs="Times New Roman" w:eastAsiaTheme="minorEastAsia"/>
          <w:color w:val="000000"/>
          <w:spacing w:val="-4"/>
          <w:kern w:val="2"/>
          <w:sz w:val="21"/>
          <w:szCs w:val="22"/>
        </w:rPr>
      </w:pPr>
      <w:r>
        <w:rPr>
          <w:rFonts w:hint="eastAsia" w:ascii="Times New Roman" w:hAnsi="Times New Roman" w:cs="Times New Roman" w:eastAsiaTheme="minorEastAsia"/>
          <w:color w:val="000000"/>
          <w:spacing w:val="-4"/>
          <w:kern w:val="2"/>
          <w:sz w:val="21"/>
          <w:szCs w:val="22"/>
        </w:rPr>
        <w:t>粗鱼油经乙酯化、蒸馏等工艺处理后得到乙酯型鱼油。</w:t>
      </w:r>
    </w:p>
    <w:p>
      <w:pPr>
        <w:pStyle w:val="4"/>
        <w:spacing w:before="0" w:beforeAutospacing="0" w:after="0" w:afterAutospacing="0" w:line="360" w:lineRule="auto"/>
        <w:ind w:firstLine="404" w:firstLineChars="200"/>
        <w:jc w:val="both"/>
        <w:rPr>
          <w:rFonts w:ascii="Times New Roman" w:hAnsi="Times New Roman" w:cs="Times New Roman" w:eastAsiaTheme="minorEastAsia"/>
          <w:color w:val="000000"/>
          <w:spacing w:val="-4"/>
          <w:kern w:val="2"/>
          <w:sz w:val="21"/>
          <w:szCs w:val="22"/>
        </w:rPr>
      </w:pPr>
      <w:r>
        <w:rPr>
          <w:rFonts w:hint="eastAsia" w:ascii="Times New Roman" w:hAnsi="Times New Roman" w:cs="Times New Roman" w:eastAsiaTheme="minorEastAsia"/>
          <w:color w:val="000000"/>
          <w:spacing w:val="-4"/>
          <w:kern w:val="2"/>
          <w:sz w:val="21"/>
          <w:szCs w:val="22"/>
        </w:rPr>
        <w:t>保健食品原料鱼油可来源于鱼油、鱼油提取物、多烯鱼油，技术要求应满足本文本要求。</w:t>
      </w:r>
    </w:p>
    <w:p>
      <w:pPr>
        <w:pStyle w:val="4"/>
        <w:spacing w:before="0" w:beforeAutospacing="0" w:after="0" w:afterAutospacing="0" w:line="360" w:lineRule="auto"/>
        <w:jc w:val="both"/>
        <w:rPr>
          <w:rFonts w:ascii="Times New Roman" w:hAnsi="Times New Roman" w:cs="Times New Roman" w:eastAsiaTheme="minorEastAsia"/>
          <w:color w:val="000000"/>
          <w:spacing w:val="-4"/>
          <w:kern w:val="2"/>
          <w:sz w:val="21"/>
          <w:szCs w:val="22"/>
        </w:rPr>
      </w:pPr>
      <w:r>
        <w:rPr>
          <w:rFonts w:hint="eastAsia" w:ascii="Times New Roman" w:hAnsi="Times New Roman" w:cs="Times New Roman" w:eastAsiaTheme="minorEastAsia"/>
          <w:color w:val="000000"/>
          <w:spacing w:val="-4"/>
          <w:kern w:val="2"/>
          <w:sz w:val="21"/>
          <w:szCs w:val="22"/>
        </w:rPr>
        <w:t>【感官要求】</w:t>
      </w:r>
    </w:p>
    <w:p>
      <w:pPr>
        <w:spacing w:line="360" w:lineRule="auto"/>
        <w:ind w:firstLine="390"/>
        <w:rPr>
          <w:rFonts w:ascii="Times New Roman" w:hAnsi="Times New Roman" w:cs="Times New Roman"/>
          <w:color w:val="000000"/>
          <w:spacing w:val="-4"/>
        </w:rPr>
      </w:pPr>
      <w:r>
        <w:rPr>
          <w:rFonts w:hint="eastAsia" w:ascii="Times New Roman" w:hAnsi="Times New Roman" w:cs="Times New Roman"/>
          <w:color w:val="000000"/>
          <w:spacing w:val="-4"/>
        </w:rPr>
        <w:t>应符合</w:t>
      </w:r>
      <w:r>
        <w:rPr>
          <w:rFonts w:ascii="Times New Roman" w:hAnsi="Times New Roman" w:cs="Times New Roman"/>
          <w:color w:val="000000"/>
          <w:spacing w:val="-4"/>
        </w:rPr>
        <w:t>表</w:t>
      </w:r>
      <w:r>
        <w:rPr>
          <w:rFonts w:hint="eastAsia" w:ascii="Times New Roman" w:hAnsi="Times New Roman" w:cs="Times New Roman"/>
          <w:color w:val="000000"/>
          <w:spacing w:val="-4"/>
        </w:rPr>
        <w:t>1规定</w:t>
      </w:r>
      <w:r>
        <w:rPr>
          <w:rFonts w:ascii="Times New Roman" w:hAnsi="Times New Roman" w:cs="Times New Roman"/>
          <w:color w:val="000000"/>
          <w:spacing w:val="-4"/>
        </w:rPr>
        <w:t>。</w:t>
      </w:r>
    </w:p>
    <w:p>
      <w:pPr>
        <w:spacing w:line="360" w:lineRule="auto"/>
        <w:ind w:firstLine="390"/>
        <w:jc w:val="center"/>
        <w:rPr>
          <w:rFonts w:ascii="Times New Roman" w:hAnsi="Times New Roman" w:cs="Times New Roman"/>
          <w:color w:val="000000"/>
          <w:spacing w:val="-4"/>
        </w:rPr>
      </w:pPr>
      <w:r>
        <w:rPr>
          <w:rFonts w:hint="eastAsia" w:ascii="Times New Roman" w:hAnsi="Times New Roman" w:cs="Times New Roman"/>
          <w:color w:val="000000"/>
          <w:spacing w:val="-4"/>
        </w:rPr>
        <w:t>表1 感官指标</w:t>
      </w:r>
    </w:p>
    <w:tbl>
      <w:tblPr>
        <w:tblStyle w:val="6"/>
        <w:tblW w:w="77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3"/>
        <w:gridCol w:w="5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1903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</w:rPr>
              <w:t>项目</w:t>
            </w:r>
          </w:p>
        </w:tc>
        <w:tc>
          <w:tcPr>
            <w:tcW w:w="588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</w:rPr>
              <w:t>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903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color w:val="000000"/>
                <w:spacing w:val="-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</w:rPr>
              <w:t>色泽</w:t>
            </w:r>
          </w:p>
        </w:tc>
        <w:tc>
          <w:tcPr>
            <w:tcW w:w="5889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color w:val="000000"/>
                <w:spacing w:val="-4"/>
              </w:rPr>
            </w:pPr>
            <w:r>
              <w:rPr>
                <w:rFonts w:hint="eastAsia" w:ascii="Times New Roman" w:hAnsi="Times New Roman" w:cs="Times New Roman"/>
                <w:color w:val="000000"/>
                <w:spacing w:val="-4"/>
              </w:rPr>
              <w:t>浅黄色或橙红色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903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color w:val="000000"/>
                <w:spacing w:val="-4"/>
              </w:rPr>
            </w:pPr>
            <w:r>
              <w:rPr>
                <w:rFonts w:hint="eastAsia" w:ascii="Times New Roman" w:hAnsi="Times New Roman" w:cs="Times New Roman"/>
                <w:color w:val="000000"/>
                <w:spacing w:val="-4"/>
              </w:rPr>
              <w:t>滋味</w:t>
            </w:r>
            <w:r>
              <w:rPr>
                <w:rFonts w:ascii="Times New Roman" w:hAnsi="Times New Roman" w:cs="Times New Roman"/>
                <w:color w:val="000000"/>
                <w:spacing w:val="-4"/>
              </w:rPr>
              <w:t>、气味</w:t>
            </w:r>
          </w:p>
        </w:tc>
        <w:tc>
          <w:tcPr>
            <w:tcW w:w="5889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color w:val="000000"/>
                <w:spacing w:val="-4"/>
              </w:rPr>
            </w:pPr>
            <w:r>
              <w:rPr>
                <w:rFonts w:hint="eastAsia" w:ascii="Times New Roman" w:hAnsi="Times New Roman" w:cs="Times New Roman"/>
                <w:color w:val="000000"/>
                <w:spacing w:val="-4"/>
              </w:rPr>
              <w:t>稍有鱼油特有的腥味，无鱼油酸败味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903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color w:val="000000"/>
                <w:spacing w:val="-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</w:rPr>
              <w:t>状态</w:t>
            </w:r>
          </w:p>
        </w:tc>
        <w:tc>
          <w:tcPr>
            <w:tcW w:w="5889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color w:val="000000"/>
                <w:spacing w:val="-4"/>
              </w:rPr>
            </w:pPr>
            <w:r>
              <w:rPr>
                <w:rFonts w:hint="eastAsia" w:ascii="Times New Roman" w:hAnsi="Times New Roman" w:cs="Times New Roman"/>
                <w:color w:val="000000"/>
                <w:spacing w:val="-4"/>
              </w:rPr>
              <w:t>澄清透明的</w:t>
            </w:r>
            <w:r>
              <w:rPr>
                <w:rFonts w:ascii="Times New Roman" w:hAnsi="Times New Roman" w:cs="Times New Roman"/>
                <w:color w:val="000000"/>
                <w:spacing w:val="-4"/>
              </w:rPr>
              <w:t>液体</w:t>
            </w:r>
            <w:r>
              <w:rPr>
                <w:rFonts w:hint="eastAsia" w:ascii="Times New Roman" w:hAnsi="Times New Roman" w:cs="Times New Roman"/>
                <w:color w:val="000000"/>
                <w:spacing w:val="-4"/>
              </w:rPr>
              <w:t>，无沉淀物，</w:t>
            </w:r>
            <w:r>
              <w:rPr>
                <w:rFonts w:ascii="Times New Roman" w:hAnsi="Times New Roman" w:cs="Times New Roman"/>
                <w:color w:val="000000"/>
                <w:spacing w:val="-4"/>
              </w:rPr>
              <w:t>无肉眼可见外来杂质</w:t>
            </w:r>
          </w:p>
        </w:tc>
      </w:tr>
    </w:tbl>
    <w:p>
      <w:pPr>
        <w:spacing w:line="360" w:lineRule="auto"/>
        <w:rPr>
          <w:rFonts w:ascii="Times New Roman" w:hAnsi="Times New Roman" w:cs="Times New Roman"/>
          <w:b/>
        </w:rPr>
      </w:pPr>
      <w:r>
        <w:rPr>
          <w:rFonts w:hint="eastAsia" w:ascii="Times New Roman" w:hAnsi="Times New Roman" w:cs="Times New Roman"/>
          <w:color w:val="000000"/>
          <w:spacing w:val="-4"/>
        </w:rPr>
        <w:t>【理化指标】</w:t>
      </w:r>
    </w:p>
    <w:p>
      <w:pPr>
        <w:spacing w:line="360" w:lineRule="auto"/>
        <w:ind w:firstLine="390"/>
        <w:rPr>
          <w:rFonts w:ascii="Times New Roman" w:hAnsi="Times New Roman" w:cs="Times New Roman"/>
          <w:color w:val="000000"/>
          <w:spacing w:val="-4"/>
        </w:rPr>
      </w:pPr>
      <w:r>
        <w:rPr>
          <w:rFonts w:hint="eastAsia" w:ascii="Times New Roman" w:hAnsi="Times New Roman" w:cs="Times New Roman"/>
          <w:color w:val="000000"/>
          <w:spacing w:val="-4"/>
        </w:rPr>
        <w:t>应符合</w:t>
      </w:r>
      <w:r>
        <w:rPr>
          <w:rFonts w:ascii="Times New Roman" w:hAnsi="Times New Roman" w:cs="Times New Roman"/>
          <w:color w:val="000000"/>
          <w:spacing w:val="-4"/>
        </w:rPr>
        <w:t>表2</w:t>
      </w:r>
      <w:r>
        <w:rPr>
          <w:rFonts w:hint="eastAsia" w:ascii="Times New Roman" w:hAnsi="Times New Roman" w:cs="Times New Roman"/>
          <w:color w:val="000000"/>
          <w:spacing w:val="-4"/>
        </w:rPr>
        <w:t>规定</w:t>
      </w:r>
      <w:r>
        <w:rPr>
          <w:rFonts w:ascii="Times New Roman" w:hAnsi="Times New Roman" w:cs="Times New Roman"/>
          <w:color w:val="000000"/>
          <w:spacing w:val="-4"/>
        </w:rPr>
        <w:t>。</w:t>
      </w:r>
    </w:p>
    <w:p>
      <w:pPr>
        <w:spacing w:line="360" w:lineRule="auto"/>
        <w:ind w:firstLine="390"/>
        <w:jc w:val="center"/>
        <w:rPr>
          <w:rFonts w:ascii="Times New Roman" w:hAnsi="Times New Roman" w:cs="Times New Roman"/>
          <w:color w:val="000000"/>
          <w:spacing w:val="-4"/>
        </w:rPr>
      </w:pPr>
      <w:r>
        <w:rPr>
          <w:rFonts w:hint="eastAsia" w:ascii="Times New Roman" w:hAnsi="Times New Roman" w:cs="Times New Roman"/>
          <w:color w:val="000000"/>
          <w:spacing w:val="-4"/>
        </w:rPr>
        <w:t>表2 理化指标</w:t>
      </w:r>
    </w:p>
    <w:tbl>
      <w:tblPr>
        <w:tblStyle w:val="6"/>
        <w:tblW w:w="836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6"/>
        <w:gridCol w:w="1276"/>
        <w:gridCol w:w="4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55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项目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指标</w:t>
            </w:r>
          </w:p>
        </w:tc>
        <w:tc>
          <w:tcPr>
            <w:tcW w:w="453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检测</w:t>
            </w:r>
            <w:r>
              <w:rPr>
                <w:rFonts w:ascii="宋体" w:hAnsi="宋体" w:cs="宋体"/>
                <w:kern w:val="0"/>
                <w:szCs w:val="21"/>
              </w:rPr>
              <w:t>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556" w:type="dxa"/>
            <w:vAlign w:val="center"/>
          </w:tcPr>
          <w:p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adjustRightInd w:val="0"/>
              <w:snapToGrid w:val="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水分及挥发物，</w:t>
            </w:r>
            <w:r>
              <w:rPr>
                <w:rFonts w:ascii="宋体" w:hAnsi="宋体" w:cs="宋体"/>
                <w:kern w:val="0"/>
                <w:szCs w:val="21"/>
              </w:rPr>
              <w:t>%     ≤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0.2</w:t>
            </w:r>
          </w:p>
        </w:tc>
        <w:tc>
          <w:tcPr>
            <w:tcW w:w="453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GB 5009.236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556" w:type="dxa"/>
            <w:vAlign w:val="center"/>
          </w:tcPr>
          <w:p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adjustRightInd w:val="0"/>
              <w:snapToGrid w:val="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酸价（以</w:t>
            </w:r>
            <w:r>
              <w:rPr>
                <w:rFonts w:ascii="宋体" w:hAnsi="宋体" w:cs="宋体"/>
                <w:kern w:val="0"/>
                <w:szCs w:val="21"/>
              </w:rPr>
              <w:t>KOH</w:t>
            </w:r>
            <w:r>
              <w:rPr>
                <w:rFonts w:hint="eastAsia" w:ascii="宋体" w:hAnsi="宋体" w:cs="宋体"/>
                <w:kern w:val="0"/>
                <w:szCs w:val="21"/>
              </w:rPr>
              <w:t>计），</w:t>
            </w:r>
            <w:r>
              <w:rPr>
                <w:rFonts w:ascii="宋体" w:hAnsi="宋体" w:cs="宋体"/>
                <w:kern w:val="0"/>
                <w:szCs w:val="21"/>
              </w:rPr>
              <w:t>mg/g≤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3.0</w:t>
            </w:r>
          </w:p>
        </w:tc>
        <w:tc>
          <w:tcPr>
            <w:tcW w:w="453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GB 5009.229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556" w:type="dxa"/>
            <w:vAlign w:val="center"/>
          </w:tcPr>
          <w:p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adjustRightInd w:val="0"/>
              <w:snapToGrid w:val="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过氧化值，mmol/kg    ≤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5.0</w:t>
            </w:r>
          </w:p>
        </w:tc>
        <w:tc>
          <w:tcPr>
            <w:tcW w:w="453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GB 5009.227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556" w:type="dxa"/>
            <w:vAlign w:val="center"/>
          </w:tcPr>
          <w:p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adjustRightInd w:val="0"/>
              <w:snapToGrid w:val="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茴香胺值            </w:t>
            </w:r>
            <w:r>
              <w:rPr>
                <w:rFonts w:ascii="宋体" w:hAnsi="宋体" w:cs="宋体"/>
                <w:kern w:val="0"/>
                <w:szCs w:val="21"/>
              </w:rPr>
              <w:t>≤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20.0</w:t>
            </w:r>
          </w:p>
        </w:tc>
        <w:tc>
          <w:tcPr>
            <w:tcW w:w="453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GB/T 24304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556" w:type="dxa"/>
            <w:vAlign w:val="center"/>
          </w:tcPr>
          <w:p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adjustRightInd w:val="0"/>
              <w:snapToGrid w:val="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碘值，</w:t>
            </w:r>
            <w:r>
              <w:rPr>
                <w:rFonts w:ascii="宋体" w:hAnsi="宋体" w:cs="宋体"/>
                <w:kern w:val="0"/>
                <w:szCs w:val="21"/>
              </w:rPr>
              <w:t>g/100 g       ≥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140</w:t>
            </w:r>
          </w:p>
        </w:tc>
        <w:tc>
          <w:tcPr>
            <w:tcW w:w="453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GB/T 5532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556" w:type="dxa"/>
            <w:vAlign w:val="center"/>
          </w:tcPr>
          <w:p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adjustRightInd w:val="0"/>
              <w:snapToGrid w:val="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不皂化物，</w:t>
            </w:r>
            <w:r>
              <w:rPr>
                <w:rFonts w:ascii="宋体" w:hAnsi="宋体" w:cs="宋体"/>
                <w:kern w:val="0"/>
                <w:szCs w:val="21"/>
              </w:rPr>
              <w:t>%         ≤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3.0</w:t>
            </w:r>
          </w:p>
        </w:tc>
        <w:tc>
          <w:tcPr>
            <w:tcW w:w="453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GB/T 5535.2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556" w:type="dxa"/>
          </w:tcPr>
          <w:p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adjustRightInd w:val="0"/>
              <w:snapToGrid w:val="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铅（以Pb计），mg/kg  ≤</w:t>
            </w:r>
          </w:p>
        </w:tc>
        <w:tc>
          <w:tcPr>
            <w:tcW w:w="1276" w:type="dxa"/>
          </w:tcPr>
          <w:p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0.1</w:t>
            </w:r>
          </w:p>
        </w:tc>
        <w:tc>
          <w:tcPr>
            <w:tcW w:w="4536" w:type="dxa"/>
          </w:tcPr>
          <w:p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GB5009.12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556" w:type="dxa"/>
          </w:tcPr>
          <w:p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adjustRightInd w:val="0"/>
              <w:snapToGrid w:val="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总砷（以As计），mg/kg≤</w:t>
            </w:r>
          </w:p>
        </w:tc>
        <w:tc>
          <w:tcPr>
            <w:tcW w:w="1276" w:type="dxa"/>
          </w:tcPr>
          <w:p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0.1</w:t>
            </w:r>
          </w:p>
        </w:tc>
        <w:tc>
          <w:tcPr>
            <w:tcW w:w="4536" w:type="dxa"/>
          </w:tcPr>
          <w:p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GB5009.11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556" w:type="dxa"/>
          </w:tcPr>
          <w:p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adjustRightInd w:val="0"/>
              <w:snapToGrid w:val="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苯并[a]芘，μg/kg   ≤</w:t>
            </w:r>
          </w:p>
        </w:tc>
        <w:tc>
          <w:tcPr>
            <w:tcW w:w="1276" w:type="dxa"/>
          </w:tcPr>
          <w:p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4536" w:type="dxa"/>
          </w:tcPr>
          <w:p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GB5009.27</w:t>
            </w:r>
          </w:p>
        </w:tc>
      </w:tr>
    </w:tbl>
    <w:p>
      <w:pPr>
        <w:spacing w:line="360" w:lineRule="auto"/>
        <w:rPr>
          <w:rFonts w:ascii="Times New Roman" w:hAnsi="Times New Roman" w:cs="Times New Roman"/>
          <w:color w:val="000000"/>
          <w:spacing w:val="-4"/>
        </w:rPr>
      </w:pPr>
      <w:r>
        <w:rPr>
          <w:rFonts w:hint="eastAsia" w:ascii="Times New Roman" w:hAnsi="Times New Roman" w:cs="Times New Roman"/>
          <w:color w:val="000000"/>
          <w:spacing w:val="-4"/>
        </w:rPr>
        <w:t>【标志性</w:t>
      </w:r>
      <w:r>
        <w:rPr>
          <w:rFonts w:ascii="Times New Roman" w:hAnsi="Times New Roman" w:cs="Times New Roman"/>
          <w:color w:val="000000"/>
          <w:spacing w:val="-4"/>
        </w:rPr>
        <w:t>成分指标</w:t>
      </w:r>
      <w:r>
        <w:rPr>
          <w:rFonts w:hint="eastAsia" w:ascii="Times New Roman" w:hAnsi="Times New Roman" w:cs="Times New Roman"/>
          <w:color w:val="000000"/>
          <w:spacing w:val="-4"/>
        </w:rPr>
        <w:t>】</w:t>
      </w:r>
    </w:p>
    <w:p>
      <w:pPr>
        <w:spacing w:line="360" w:lineRule="auto"/>
        <w:rPr>
          <w:rFonts w:ascii="Times New Roman" w:hAnsi="Times New Roman" w:cs="Times New Roman"/>
          <w:color w:val="000000"/>
          <w:spacing w:val="-4"/>
        </w:rPr>
      </w:pPr>
      <w:r>
        <w:rPr>
          <w:rFonts w:hint="eastAsia" w:ascii="Times New Roman" w:hAnsi="Times New Roman" w:cs="Times New Roman"/>
          <w:color w:val="000000"/>
          <w:spacing w:val="-4"/>
        </w:rPr>
        <w:t xml:space="preserve"> 应符合</w:t>
      </w:r>
      <w:r>
        <w:rPr>
          <w:rFonts w:ascii="Times New Roman" w:hAnsi="Times New Roman" w:cs="Times New Roman"/>
          <w:color w:val="000000"/>
          <w:spacing w:val="-4"/>
        </w:rPr>
        <w:t>表4</w:t>
      </w:r>
      <w:r>
        <w:rPr>
          <w:rFonts w:hint="eastAsia" w:ascii="Times New Roman" w:hAnsi="Times New Roman" w:cs="Times New Roman"/>
          <w:color w:val="000000"/>
          <w:spacing w:val="-4"/>
        </w:rPr>
        <w:t>规定</w:t>
      </w:r>
      <w:r>
        <w:rPr>
          <w:rFonts w:ascii="Times New Roman" w:hAnsi="Times New Roman" w:cs="Times New Roman"/>
          <w:color w:val="000000"/>
          <w:spacing w:val="-4"/>
        </w:rPr>
        <w:t>。</w:t>
      </w:r>
    </w:p>
    <w:p>
      <w:pPr>
        <w:spacing w:line="360" w:lineRule="auto"/>
        <w:jc w:val="center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表4标志性成分指标</w:t>
      </w:r>
    </w:p>
    <w:tbl>
      <w:tblPr>
        <w:tblStyle w:val="6"/>
        <w:tblW w:w="878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3"/>
        <w:gridCol w:w="1985"/>
        <w:gridCol w:w="41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693" w:type="dxa"/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项目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指标</w:t>
            </w: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检测方法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693" w:type="dxa"/>
            <w:vAlign w:val="center"/>
          </w:tcPr>
          <w:p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pacing w:val="-4"/>
              </w:rPr>
            </w:pPr>
            <w:r>
              <w:rPr>
                <w:rFonts w:hint="eastAsia" w:ascii="Times New Roman" w:hAnsi="Times New Roman" w:cs="Times New Roman"/>
                <w:color w:val="000000"/>
                <w:spacing w:val="-4"/>
              </w:rPr>
              <w:t>EPA+DHA含量，</w:t>
            </w:r>
            <w:r>
              <w:rPr>
                <w:rFonts w:ascii="Times New Roman" w:hAnsi="Times New Roman" w:cs="Times New Roman"/>
                <w:color w:val="000000"/>
                <w:spacing w:val="-4"/>
              </w:rPr>
              <w:t xml:space="preserve"> g/100g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pacing w:val="-4"/>
              </w:rPr>
            </w:pPr>
          </w:p>
          <w:p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pacing w:val="-4"/>
              </w:rPr>
            </w:pPr>
            <w:r>
              <w:rPr>
                <w:rFonts w:hint="eastAsia" w:ascii="Times New Roman" w:hAnsi="Times New Roman" w:cs="Times New Roman"/>
                <w:color w:val="000000"/>
                <w:spacing w:val="-4"/>
              </w:rPr>
              <w:t>≥25</w:t>
            </w: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pacing w:val="-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</w:rPr>
              <w:t>GB 5009.168《食品安全国家标准 食品中脂肪酸的测定》</w:t>
            </w:r>
          </w:p>
        </w:tc>
      </w:tr>
    </w:tbl>
    <w:p>
      <w:pPr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【</w:t>
      </w:r>
      <w:r>
        <w:rPr>
          <w:rFonts w:ascii="Times New Roman" w:hAnsi="Times New Roman" w:cs="Times New Roman"/>
        </w:rPr>
        <w:t>储存</w:t>
      </w:r>
      <w:r>
        <w:rPr>
          <w:rFonts w:hint="eastAsia" w:ascii="Times New Roman" w:hAnsi="Times New Roman" w:cs="Times New Roman"/>
        </w:rPr>
        <w:t>】干燥阴凉</w:t>
      </w:r>
      <w:r>
        <w:rPr>
          <w:rFonts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</w:rPr>
        <w:t>避光、</w:t>
      </w:r>
      <w:r>
        <w:rPr>
          <w:rFonts w:ascii="Times New Roman" w:hAnsi="Times New Roman" w:cs="Times New Roman"/>
        </w:rPr>
        <w:t>密封保存。</w:t>
      </w:r>
    </w:p>
    <w:p>
      <w:pPr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>【</w:t>
      </w:r>
      <w:r>
        <w:rPr>
          <w:rFonts w:ascii="Times New Roman" w:hAnsi="Times New Roman" w:cs="Times New Roman"/>
          <w:spacing w:val="-4"/>
        </w:rPr>
        <w:t>产品</w:t>
      </w:r>
      <w:r>
        <w:rPr>
          <w:rFonts w:hint="eastAsia" w:ascii="Times New Roman" w:hAnsi="Times New Roman" w:cs="Times New Roman"/>
          <w:spacing w:val="-4"/>
        </w:rPr>
        <w:t>的</w:t>
      </w:r>
      <w:r>
        <w:rPr>
          <w:rFonts w:ascii="Times New Roman" w:hAnsi="Times New Roman" w:cs="Times New Roman"/>
          <w:spacing w:val="-4"/>
        </w:rPr>
        <w:t>剂型</w:t>
      </w:r>
      <w:r>
        <w:rPr>
          <w:rFonts w:hint="eastAsia" w:ascii="Times New Roman" w:hAnsi="Times New Roman" w:cs="Times New Roman"/>
          <w:b/>
        </w:rPr>
        <w:t>】</w:t>
      </w:r>
      <w:r>
        <w:rPr>
          <w:rFonts w:ascii="Times New Roman" w:hAnsi="Times New Roman" w:cs="Times New Roman"/>
        </w:rPr>
        <w:t>软胶囊</w:t>
      </w:r>
    </w:p>
    <w:p>
      <w:pPr>
        <w:spacing w:line="360" w:lineRule="auto"/>
        <w:rPr>
          <w:rFonts w:ascii="Times New Roman" w:hAnsi="Times New Roman" w:cs="Times New Roman"/>
        </w:rPr>
      </w:pPr>
    </w:p>
    <w:p>
      <w:pPr>
        <w:spacing w:line="360" w:lineRule="auto"/>
        <w:rPr>
          <w:rFonts w:ascii="Times New Roman" w:hAnsi="Times New Roman" w:cs="Times New Roman"/>
        </w:rPr>
      </w:pPr>
    </w:p>
    <w:p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——————————</w:t>
      </w:r>
    </w:p>
    <w:p>
      <w:pPr>
        <w:spacing w:line="360" w:lineRule="auto"/>
        <w:rPr>
          <w:rFonts w:ascii="Times New Roman" w:hAnsi="Times New Roman" w:cs="Times New Roman"/>
          <w:color w:val="FF0000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97954"/>
    <w:multiLevelType w:val="multilevel"/>
    <w:tmpl w:val="27D97954"/>
    <w:lvl w:ilvl="0" w:tentative="0">
      <w:start w:val="1"/>
      <w:numFmt w:val="decimalEnclosedCircle"/>
      <w:lvlText w:val="%1"/>
      <w:lvlJc w:val="left"/>
      <w:pPr>
        <w:ind w:left="9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00" w:hanging="420"/>
      </w:pPr>
    </w:lvl>
    <w:lvl w:ilvl="2" w:tentative="0">
      <w:start w:val="1"/>
      <w:numFmt w:val="lowerRoman"/>
      <w:lvlText w:val="%3."/>
      <w:lvlJc w:val="right"/>
      <w:pPr>
        <w:ind w:left="1820" w:hanging="420"/>
      </w:pPr>
    </w:lvl>
    <w:lvl w:ilvl="3" w:tentative="0">
      <w:start w:val="1"/>
      <w:numFmt w:val="decimal"/>
      <w:lvlText w:val="%4."/>
      <w:lvlJc w:val="left"/>
      <w:pPr>
        <w:ind w:left="2240" w:hanging="420"/>
      </w:pPr>
    </w:lvl>
    <w:lvl w:ilvl="4" w:tentative="0">
      <w:start w:val="1"/>
      <w:numFmt w:val="lowerLetter"/>
      <w:lvlText w:val="%5)"/>
      <w:lvlJc w:val="left"/>
      <w:pPr>
        <w:ind w:left="2660" w:hanging="420"/>
      </w:pPr>
    </w:lvl>
    <w:lvl w:ilvl="5" w:tentative="0">
      <w:start w:val="1"/>
      <w:numFmt w:val="lowerRoman"/>
      <w:lvlText w:val="%6."/>
      <w:lvlJc w:val="right"/>
      <w:pPr>
        <w:ind w:left="3080" w:hanging="420"/>
      </w:pPr>
    </w:lvl>
    <w:lvl w:ilvl="6" w:tentative="0">
      <w:start w:val="1"/>
      <w:numFmt w:val="decimal"/>
      <w:lvlText w:val="%7."/>
      <w:lvlJc w:val="left"/>
      <w:pPr>
        <w:ind w:left="3500" w:hanging="420"/>
      </w:pPr>
    </w:lvl>
    <w:lvl w:ilvl="7" w:tentative="0">
      <w:start w:val="1"/>
      <w:numFmt w:val="lowerLetter"/>
      <w:lvlText w:val="%8)"/>
      <w:lvlJc w:val="left"/>
      <w:pPr>
        <w:ind w:left="3920" w:hanging="420"/>
      </w:pPr>
    </w:lvl>
    <w:lvl w:ilvl="8" w:tentative="0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064DE9"/>
    <w:rsid w:val="48064DE9"/>
    <w:rsid w:val="629C5AA0"/>
    <w:rsid w:val="7115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2020-12-01T07:26:00Z</dcterms:created>
  <dc:creator>周石平</dc:creator>
  <cp:lastModifiedBy>周石平</cp:lastModifiedBy>
  <dcterms:modified xsi:type="dcterms:W3CDTF">2020-12-01T07:41:24Z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